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line="493" w:lineRule="atLeast"/>
        <w:jc w:val="center"/>
      </w:pPr>
    </w:p>
    <w:p>
      <w:pPr>
        <w:widowControl w:val="0"/>
        <w:snapToGrid w:val="0"/>
        <w:spacing w:line="493" w:lineRule="atLeast"/>
        <w:jc w:val="center"/>
        <w:rPr>
          <w:rFonts w:ascii="宋体" w:hAnsi="宋体"/>
          <w:b/>
          <w:sz w:val="44"/>
          <w:szCs w:val="44"/>
        </w:rPr>
      </w:pPr>
      <w:r>
        <w:rPr>
          <w:rFonts w:hint="eastAsia" w:ascii="宋体" w:hAnsi="宋体"/>
          <w:b/>
          <w:sz w:val="44"/>
          <w:szCs w:val="44"/>
        </w:rPr>
        <w:t>莆田市专项储备粮轮换竞价采购交易会</w:t>
      </w:r>
    </w:p>
    <w:p>
      <w:pPr>
        <w:widowControl w:val="0"/>
        <w:snapToGrid w:val="0"/>
        <w:spacing w:line="493" w:lineRule="atLeast"/>
        <w:jc w:val="center"/>
        <w:rPr>
          <w:rFonts w:ascii="宋体" w:hAnsi="宋体"/>
          <w:b/>
          <w:spacing w:val="-40"/>
          <w:sz w:val="44"/>
          <w:szCs w:val="44"/>
        </w:rPr>
      </w:pPr>
      <w:r>
        <w:rPr>
          <w:rFonts w:hint="eastAsia" w:ascii="宋体" w:hAnsi="宋体"/>
          <w:b/>
          <w:spacing w:val="-40"/>
          <w:sz w:val="44"/>
          <w:szCs w:val="44"/>
        </w:rPr>
        <w:t>（</w:t>
      </w:r>
      <w:r>
        <w:rPr>
          <w:rFonts w:hint="eastAsia" w:ascii="宋体" w:hAnsi="宋体"/>
          <w:b/>
          <w:sz w:val="44"/>
          <w:szCs w:val="44"/>
        </w:rPr>
        <w:t>2017年第二场</w:t>
      </w:r>
      <w:r>
        <w:rPr>
          <w:rFonts w:hint="eastAsia" w:ascii="宋体" w:hAnsi="宋体"/>
          <w:b/>
          <w:spacing w:val="-40"/>
          <w:sz w:val="44"/>
          <w:szCs w:val="44"/>
        </w:rPr>
        <w:t>）</w:t>
      </w:r>
    </w:p>
    <w:p>
      <w:pPr>
        <w:widowControl w:val="0"/>
        <w:snapToGrid w:val="0"/>
        <w:spacing w:line="555" w:lineRule="atLeast"/>
        <w:jc w:val="center"/>
        <w:rPr>
          <w:rFonts w:ascii="宋体" w:hAnsi="宋体"/>
          <w:b/>
          <w:sz w:val="32"/>
        </w:rPr>
      </w:pPr>
      <w:r>
        <w:rPr>
          <w:rFonts w:ascii="宋体" w:hAnsi="宋体"/>
          <w:b/>
          <w:sz w:val="44"/>
          <w:szCs w:val="44"/>
        </w:rPr>
        <w:t>文件书目录</w:t>
      </w:r>
    </w:p>
    <w:p>
      <w:pPr>
        <w:widowControl w:val="0"/>
        <w:snapToGrid w:val="0"/>
        <w:spacing w:line="578" w:lineRule="atLeast"/>
        <w:ind w:left="6"/>
        <w:rPr>
          <w:rFonts w:ascii="仿宋" w:hAnsi="仿宋" w:eastAsia="仿宋"/>
          <w:sz w:val="32"/>
        </w:rPr>
      </w:pPr>
    </w:p>
    <w:p>
      <w:pPr>
        <w:widowControl w:val="0"/>
        <w:snapToGrid w:val="0"/>
        <w:spacing w:line="578" w:lineRule="atLeast"/>
        <w:ind w:left="6"/>
        <w:rPr>
          <w:rFonts w:ascii="仿宋" w:hAnsi="仿宋" w:eastAsia="仿宋"/>
          <w:sz w:val="32"/>
        </w:rPr>
      </w:pPr>
      <w:r>
        <w:rPr>
          <w:rFonts w:hint="eastAsia" w:ascii="仿宋" w:hAnsi="仿宋" w:eastAsia="仿宋"/>
          <w:sz w:val="32"/>
        </w:rPr>
        <w:t>1、公告</w:t>
      </w:r>
    </w:p>
    <w:p>
      <w:pPr>
        <w:widowControl w:val="0"/>
        <w:snapToGrid w:val="0"/>
        <w:spacing w:line="578" w:lineRule="atLeast"/>
        <w:ind w:left="6"/>
        <w:rPr>
          <w:rFonts w:ascii="仿宋" w:hAnsi="仿宋" w:eastAsia="仿宋"/>
          <w:sz w:val="32"/>
        </w:rPr>
      </w:pPr>
      <w:r>
        <w:rPr>
          <w:rFonts w:hint="eastAsia" w:ascii="仿宋" w:hAnsi="仿宋" w:eastAsia="仿宋"/>
          <w:sz w:val="32"/>
        </w:rPr>
        <w:t>2、日程表</w:t>
      </w:r>
    </w:p>
    <w:p>
      <w:pPr>
        <w:widowControl w:val="0"/>
        <w:snapToGrid w:val="0"/>
        <w:spacing w:line="578" w:lineRule="atLeast"/>
        <w:rPr>
          <w:rFonts w:ascii="仿宋" w:hAnsi="仿宋" w:eastAsia="仿宋"/>
          <w:sz w:val="32"/>
        </w:rPr>
      </w:pPr>
      <w:r>
        <w:rPr>
          <w:rFonts w:hint="eastAsia" w:ascii="仿宋" w:hAnsi="仿宋" w:eastAsia="仿宋"/>
          <w:sz w:val="32"/>
        </w:rPr>
        <w:t>3、竞价交易规则</w:t>
      </w:r>
    </w:p>
    <w:p>
      <w:pPr>
        <w:widowControl w:val="0"/>
        <w:snapToGrid w:val="0"/>
        <w:spacing w:line="578" w:lineRule="atLeast"/>
        <w:rPr>
          <w:rFonts w:ascii="仿宋" w:hAnsi="仿宋" w:eastAsia="仿宋"/>
          <w:sz w:val="32"/>
        </w:rPr>
      </w:pPr>
      <w:r>
        <w:rPr>
          <w:rFonts w:hint="eastAsia" w:ascii="仿宋" w:hAnsi="仿宋" w:eastAsia="仿宋"/>
          <w:sz w:val="32"/>
        </w:rPr>
        <w:t xml:space="preserve">4、《竞价采购标的目录》                              </w:t>
      </w:r>
    </w:p>
    <w:p>
      <w:pPr>
        <w:widowControl w:val="0"/>
        <w:snapToGrid w:val="0"/>
        <w:spacing w:line="578" w:lineRule="atLeast"/>
        <w:ind w:left="-2" w:leftChars="-1"/>
        <w:jc w:val="left"/>
        <w:rPr>
          <w:rFonts w:ascii="仿宋" w:hAnsi="仿宋" w:eastAsia="仿宋"/>
          <w:sz w:val="32"/>
        </w:rPr>
      </w:pPr>
      <w:r>
        <w:rPr>
          <w:rFonts w:hint="eastAsia" w:ascii="仿宋" w:hAnsi="仿宋" w:eastAsia="仿宋"/>
          <w:sz w:val="32"/>
        </w:rPr>
        <w:t>5、《竞价采购成交确认书》（样本）</w:t>
      </w:r>
    </w:p>
    <w:p>
      <w:pPr>
        <w:widowControl w:val="0"/>
        <w:snapToGrid w:val="0"/>
        <w:spacing w:line="578" w:lineRule="atLeast"/>
        <w:ind w:left="-2" w:leftChars="-1"/>
        <w:jc w:val="left"/>
        <w:rPr>
          <w:rFonts w:ascii="仿宋" w:hAnsi="仿宋" w:eastAsia="仿宋"/>
          <w:sz w:val="32"/>
        </w:rPr>
      </w:pPr>
      <w:r>
        <w:rPr>
          <w:rFonts w:hint="eastAsia" w:ascii="仿宋" w:hAnsi="仿宋" w:eastAsia="仿宋"/>
          <w:sz w:val="32"/>
        </w:rPr>
        <w:t>6、《2017年莆田市专项储备粮(稻谷)采购合同》（样本）</w:t>
      </w:r>
    </w:p>
    <w:p>
      <w:pPr>
        <w:widowControl w:val="0"/>
        <w:snapToGrid w:val="0"/>
        <w:spacing w:line="578" w:lineRule="atLeast"/>
        <w:ind w:left="-2" w:leftChars="-1"/>
        <w:jc w:val="left"/>
        <w:rPr>
          <w:rFonts w:ascii="仿宋" w:hAnsi="仿宋" w:eastAsia="仿宋"/>
          <w:sz w:val="32"/>
        </w:rPr>
      </w:pPr>
      <w:r>
        <w:rPr>
          <w:rFonts w:hint="eastAsia" w:ascii="仿宋" w:hAnsi="仿宋" w:eastAsia="仿宋"/>
          <w:sz w:val="32"/>
        </w:rPr>
        <w:t>7、福州粮食批发交易市场网上交易大厅使用手册</w:t>
      </w:r>
    </w:p>
    <w:p>
      <w:pPr>
        <w:widowControl w:val="0"/>
        <w:snapToGrid w:val="0"/>
        <w:spacing w:line="578" w:lineRule="atLeast"/>
        <w:ind w:left="-178" w:leftChars="-85" w:firstLine="176" w:firstLineChars="55"/>
        <w:jc w:val="left"/>
        <w:rPr>
          <w:rFonts w:ascii="仿宋" w:hAnsi="仿宋" w:eastAsia="仿宋"/>
          <w:sz w:val="32"/>
        </w:rPr>
      </w:pPr>
      <w:r>
        <w:rPr>
          <w:rFonts w:hint="eastAsia" w:ascii="仿宋" w:hAnsi="仿宋" w:eastAsia="仿宋"/>
          <w:sz w:val="32"/>
        </w:rPr>
        <w:t>8、福州粮食批发交易市场网上交易观摩系统使用说明</w:t>
      </w:r>
    </w:p>
    <w:p>
      <w:pPr>
        <w:widowControl w:val="0"/>
        <w:snapToGrid w:val="0"/>
        <w:spacing w:line="277" w:lineRule="atLeast"/>
        <w:rPr>
          <w:rFonts w:ascii="仿宋" w:hAnsi="仿宋" w:eastAsia="仿宋"/>
          <w:sz w:val="32"/>
        </w:rPr>
      </w:pPr>
    </w:p>
    <w:p>
      <w:pPr>
        <w:widowControl w:val="0"/>
        <w:snapToGrid w:val="0"/>
        <w:spacing w:line="277" w:lineRule="atLeast"/>
        <w:rPr>
          <w:rFonts w:ascii="仿宋_GB2312" w:hAnsi="仿宋" w:eastAsia="仿宋_GB2312"/>
          <w:sz w:val="32"/>
        </w:rPr>
      </w:pPr>
    </w:p>
    <w:p>
      <w:pPr>
        <w:widowControl w:val="0"/>
        <w:snapToGrid w:val="0"/>
        <w:spacing w:line="277" w:lineRule="atLeast"/>
        <w:rPr>
          <w:rFonts w:ascii="仿宋_GB2312" w:hAnsi="仿宋" w:eastAsia="仿宋_GB2312"/>
        </w:rPr>
      </w:pPr>
    </w:p>
    <w:p>
      <w:pPr>
        <w:widowControl w:val="0"/>
        <w:snapToGrid w:val="0"/>
        <w:spacing w:line="277" w:lineRule="atLeast"/>
        <w:rPr>
          <w:rFonts w:ascii="仿宋_GB2312" w:eastAsia="仿宋_GB2312"/>
        </w:rPr>
      </w:pPr>
    </w:p>
    <w:p>
      <w:pPr>
        <w:widowControl w:val="0"/>
        <w:snapToGrid w:val="0"/>
        <w:spacing w:line="277" w:lineRule="atLeast"/>
        <w:rPr>
          <w:rFonts w:ascii="仿宋_GB2312" w:eastAsia="仿宋_GB2312"/>
        </w:rPr>
      </w:pPr>
    </w:p>
    <w:p>
      <w:pPr>
        <w:widowControl w:val="0"/>
        <w:snapToGrid w:val="0"/>
        <w:spacing w:line="277" w:lineRule="atLeast"/>
        <w:rPr>
          <w:rFonts w:ascii="仿宋_GB2312" w:eastAsia="仿宋_GB2312"/>
        </w:rPr>
      </w:pPr>
    </w:p>
    <w:p>
      <w:pPr>
        <w:widowControl w:val="0"/>
        <w:snapToGrid w:val="0"/>
        <w:spacing w:line="277" w:lineRule="atLeast"/>
        <w:rPr>
          <w:rFonts w:ascii="仿宋_GB2312" w:eastAsia="仿宋_GB2312"/>
        </w:rPr>
      </w:pPr>
    </w:p>
    <w:p>
      <w:pPr>
        <w:widowControl w:val="0"/>
        <w:snapToGrid w:val="0"/>
        <w:spacing w:line="277" w:lineRule="atLeast"/>
        <w:rPr>
          <w:rFonts w:ascii="仿宋_GB2312" w:eastAsia="仿宋_GB2312"/>
        </w:rPr>
      </w:pPr>
    </w:p>
    <w:p>
      <w:pPr>
        <w:widowControl w:val="0"/>
        <w:snapToGrid w:val="0"/>
        <w:spacing w:line="277" w:lineRule="atLeast"/>
        <w:rPr>
          <w:rFonts w:ascii="仿宋_GB2312" w:eastAsia="仿宋_GB2312"/>
        </w:rPr>
      </w:pPr>
    </w:p>
    <w:p>
      <w:pPr>
        <w:widowControl w:val="0"/>
        <w:snapToGrid w:val="0"/>
        <w:spacing w:line="277" w:lineRule="atLeast"/>
      </w:pPr>
    </w:p>
    <w:p>
      <w:pPr>
        <w:widowControl w:val="0"/>
        <w:snapToGrid w:val="0"/>
        <w:spacing w:line="340" w:lineRule="exact"/>
        <w:rPr>
          <w:rFonts w:ascii="宋体" w:hAnsi="宋体"/>
          <w:b/>
          <w:sz w:val="44"/>
        </w:rPr>
        <w:sectPr>
          <w:headerReference r:id="rId3" w:type="default"/>
          <w:footerReference r:id="rId4" w:type="default"/>
          <w:pgSz w:w="11905" w:h="16837"/>
          <w:pgMar w:top="1440" w:right="1588" w:bottom="1440" w:left="1588" w:header="851" w:footer="992" w:gutter="0"/>
          <w:pgNumType w:start="0"/>
          <w:cols w:space="720" w:num="1"/>
          <w:docGrid w:type="lines" w:linePitch="312" w:charSpace="0"/>
        </w:sectPr>
      </w:pPr>
    </w:p>
    <w:p>
      <w:pPr>
        <w:widowControl w:val="0"/>
        <w:snapToGrid w:val="0"/>
        <w:spacing w:line="500" w:lineRule="exact"/>
        <w:jc w:val="center"/>
        <w:rPr>
          <w:rFonts w:ascii="宋体" w:hAnsi="宋体"/>
          <w:b/>
          <w:sz w:val="18"/>
          <w:szCs w:val="18"/>
        </w:rPr>
      </w:pPr>
      <w:r>
        <w:rPr>
          <w:rFonts w:ascii="宋体" w:hAnsi="宋体"/>
          <w:b/>
          <w:sz w:val="44"/>
        </w:rPr>
        <w:t>公   告</w:t>
      </w:r>
    </w:p>
    <w:p>
      <w:pPr>
        <w:spacing w:line="340" w:lineRule="exact"/>
        <w:ind w:firstLine="476" w:firstLineChars="200"/>
        <w:rPr>
          <w:rFonts w:ascii="仿宋" w:hAnsi="仿宋" w:eastAsia="仿宋"/>
          <w:spacing w:val="-24"/>
          <w:sz w:val="26"/>
          <w:szCs w:val="26"/>
        </w:rPr>
      </w:pPr>
      <w:r>
        <w:rPr>
          <w:rFonts w:hint="eastAsia" w:ascii="仿宋" w:hAnsi="仿宋" w:eastAsia="仿宋"/>
          <w:spacing w:val="-11"/>
          <w:sz w:val="26"/>
          <w:szCs w:val="26"/>
        </w:rPr>
        <w:t>经相关部门批准，受莆田市粮食集团有限公司、莆田市秀屿粮食购销有限公司委托,定于</w:t>
      </w:r>
      <w:r>
        <w:rPr>
          <w:rFonts w:hint="eastAsia" w:ascii="仿宋" w:hAnsi="仿宋" w:eastAsia="仿宋"/>
          <w:b/>
          <w:color w:val="FF0000"/>
          <w:spacing w:val="-11"/>
          <w:sz w:val="26"/>
          <w:szCs w:val="26"/>
        </w:rPr>
        <w:t>2017年9月19日上午 10:00</w:t>
      </w:r>
      <w:r>
        <w:rPr>
          <w:rFonts w:hint="eastAsia" w:ascii="仿宋" w:hAnsi="仿宋" w:eastAsia="仿宋"/>
          <w:spacing w:val="-11"/>
          <w:sz w:val="26"/>
          <w:szCs w:val="26"/>
        </w:rPr>
        <w:t>在福州市粮食批发交易市场交易大厅举办“莆田市专项储备粮轮换竞价采购交易会（2017年第二场）”。</w:t>
      </w:r>
      <w:r>
        <w:rPr>
          <w:rFonts w:hint="eastAsia" w:ascii="仿宋" w:hAnsi="仿宋" w:eastAsia="仿宋"/>
          <w:b/>
          <w:color w:val="FF0000"/>
          <w:spacing w:val="-11"/>
          <w:sz w:val="26"/>
          <w:szCs w:val="26"/>
        </w:rPr>
        <w:t>竞价采购标的：2017年度生产的早籼稻14153.509吨。</w:t>
      </w:r>
      <w:r>
        <w:rPr>
          <w:rFonts w:hint="eastAsia" w:ascii="仿宋" w:hAnsi="仿宋" w:eastAsia="仿宋"/>
          <w:spacing w:val="-11"/>
          <w:sz w:val="26"/>
          <w:szCs w:val="26"/>
        </w:rPr>
        <w:t>具体指标详见《2017年莆田市专项储备粮（稻谷）采购合同》（样本），具体数量以交易会当场公布为准。</w:t>
      </w:r>
    </w:p>
    <w:p>
      <w:pPr>
        <w:widowControl w:val="0"/>
        <w:snapToGrid w:val="0"/>
        <w:spacing w:line="340" w:lineRule="exact"/>
        <w:rPr>
          <w:rFonts w:ascii="仿宋" w:hAnsi="仿宋" w:eastAsia="仿宋"/>
          <w:spacing w:val="-11"/>
          <w:sz w:val="26"/>
          <w:szCs w:val="26"/>
        </w:rPr>
      </w:pPr>
      <w:r>
        <w:rPr>
          <w:rFonts w:hint="eastAsia" w:ascii="仿宋" w:hAnsi="仿宋" w:eastAsia="仿宋"/>
          <w:spacing w:val="-11"/>
          <w:sz w:val="26"/>
          <w:szCs w:val="26"/>
        </w:rPr>
        <w:t xml:space="preserve">     具有工商行政管理部门批准的，有良好信誉的，从事粮食经营的企业法人、个体经营户</w:t>
      </w:r>
      <w:r>
        <w:rPr>
          <w:rFonts w:hint="eastAsia" w:ascii="仿宋" w:hAnsi="仿宋" w:eastAsia="仿宋"/>
          <w:spacing w:val="-30"/>
          <w:sz w:val="26"/>
          <w:szCs w:val="26"/>
        </w:rPr>
        <w:t>，</w:t>
      </w:r>
      <w:r>
        <w:rPr>
          <w:rFonts w:hint="eastAsia" w:ascii="仿宋" w:hAnsi="仿宋" w:eastAsia="仿宋"/>
          <w:spacing w:val="-11"/>
          <w:sz w:val="26"/>
          <w:szCs w:val="26"/>
        </w:rPr>
        <w:t>初次报名需携带《营业执照》（副本）原件及加盖单位公章的复印件，加盖单位公章的法人身份证复印件，填写“福建省福州粮食批发交易市场互联网远程竞价交易固定席位会员登记确认表”注册成为地方储备粮交易客户，领取密钥。已在福州粮食批发交易市场注册的地方储备粮交易客户，向福州杜坞粮食交易市场有限公司传真加盖单位公章的《营业执照》（副本）复印件及法人代表身份证复印件，法人代表签字、单位盖章的《远程竞标保证书》即可报名登记。经确认资格后，按每吨人民币160元交纳交易履约保证金后成为互联网远程固定席位会员，成为正式竞标人。本场交易会不接受个人账户报名汇款，只接受对公账户汇款。本场交易会采用非现场互联网竞价的交易方式。成交手续费由委托方负担。详细规则请查看“莆田市专项储备粮轮换竞价采购交易会（2017年第二场）文件书”或上网查询。若有变更在《榕粮网》上公布。</w:t>
      </w:r>
    </w:p>
    <w:p>
      <w:pPr>
        <w:widowControl w:val="0"/>
        <w:snapToGrid w:val="0"/>
        <w:spacing w:line="340" w:lineRule="exact"/>
        <w:rPr>
          <w:rFonts w:ascii="仿宋" w:hAnsi="仿宋" w:eastAsia="仿宋"/>
          <w:sz w:val="26"/>
          <w:szCs w:val="26"/>
        </w:rPr>
      </w:pPr>
      <w:r>
        <w:rPr>
          <w:rFonts w:hint="eastAsia" w:ascii="仿宋" w:hAnsi="仿宋" w:eastAsia="仿宋"/>
          <w:sz w:val="26"/>
          <w:szCs w:val="26"/>
        </w:rPr>
        <w:t>报名时间：即日起至9月18日止（上午8:30--下午5:30）</w:t>
      </w:r>
    </w:p>
    <w:p>
      <w:pPr>
        <w:widowControl w:val="0"/>
        <w:snapToGrid w:val="0"/>
        <w:spacing w:line="340" w:lineRule="exact"/>
        <w:rPr>
          <w:rFonts w:ascii="仿宋" w:hAnsi="仿宋" w:eastAsia="仿宋"/>
          <w:sz w:val="26"/>
          <w:szCs w:val="26"/>
        </w:rPr>
      </w:pPr>
      <w:r>
        <w:rPr>
          <w:rFonts w:ascii="仿宋" w:hAnsi="仿宋" w:eastAsia="仿宋"/>
          <w:sz w:val="26"/>
          <w:szCs w:val="26"/>
        </w:rPr>
        <w:t>报名地点：福州杜坞粮食交易市场有限公司</w:t>
      </w:r>
    </w:p>
    <w:p>
      <w:pPr>
        <w:widowControl w:val="0"/>
        <w:snapToGrid w:val="0"/>
        <w:spacing w:line="340" w:lineRule="exact"/>
        <w:rPr>
          <w:rFonts w:ascii="仿宋" w:hAnsi="仿宋" w:eastAsia="仿宋"/>
          <w:sz w:val="26"/>
          <w:szCs w:val="26"/>
        </w:rPr>
      </w:pPr>
      <w:r>
        <w:rPr>
          <w:rFonts w:ascii="仿宋" w:hAnsi="仿宋" w:eastAsia="仿宋"/>
          <w:sz w:val="26"/>
          <w:szCs w:val="26"/>
        </w:rPr>
        <w:t>地址：福州市</w:t>
      </w:r>
      <w:r>
        <w:rPr>
          <w:rFonts w:hint="eastAsia" w:ascii="仿宋" w:hAnsi="仿宋" w:eastAsia="仿宋"/>
          <w:sz w:val="26"/>
          <w:szCs w:val="26"/>
        </w:rPr>
        <w:t>闽侯</w:t>
      </w:r>
      <w:r>
        <w:rPr>
          <w:rFonts w:ascii="仿宋" w:hAnsi="仿宋" w:eastAsia="仿宋"/>
          <w:sz w:val="26"/>
          <w:szCs w:val="26"/>
        </w:rPr>
        <w:t>荆溪镇杜坞</w:t>
      </w:r>
    </w:p>
    <w:p>
      <w:pPr>
        <w:widowControl w:val="0"/>
        <w:snapToGrid w:val="0"/>
        <w:spacing w:line="340" w:lineRule="exact"/>
        <w:rPr>
          <w:rFonts w:ascii="仿宋" w:hAnsi="仿宋" w:eastAsia="仿宋"/>
          <w:spacing w:val="-30"/>
          <w:sz w:val="26"/>
          <w:szCs w:val="26"/>
        </w:rPr>
      </w:pPr>
      <w:r>
        <w:rPr>
          <w:rFonts w:hint="eastAsia" w:ascii="仿宋" w:hAnsi="仿宋" w:eastAsia="仿宋"/>
          <w:spacing w:val="-30"/>
          <w:sz w:val="26"/>
          <w:szCs w:val="26"/>
        </w:rPr>
        <w:t>保证金收款单位：福州杜坞粮食交易市场有限公司</w:t>
      </w:r>
    </w:p>
    <w:p>
      <w:pPr>
        <w:widowControl w:val="0"/>
        <w:snapToGrid w:val="0"/>
        <w:spacing w:line="340" w:lineRule="exact"/>
        <w:rPr>
          <w:rFonts w:ascii="仿宋" w:hAnsi="仿宋" w:eastAsia="仿宋"/>
          <w:sz w:val="26"/>
          <w:szCs w:val="26"/>
        </w:rPr>
      </w:pPr>
      <w:r>
        <w:rPr>
          <w:rFonts w:hint="eastAsia" w:ascii="仿宋" w:hAnsi="仿宋" w:eastAsia="仿宋"/>
          <w:spacing w:val="-30"/>
          <w:sz w:val="26"/>
          <w:szCs w:val="26"/>
        </w:rPr>
        <w:t>1</w:t>
      </w:r>
      <w:r>
        <w:rPr>
          <w:rFonts w:hint="eastAsia" w:ascii="仿宋" w:hAnsi="仿宋" w:eastAsia="仿宋"/>
          <w:sz w:val="26"/>
          <w:szCs w:val="26"/>
        </w:rPr>
        <w:t>、开户银行：建行福建福州南江滨支行</w:t>
      </w:r>
    </w:p>
    <w:p>
      <w:pPr>
        <w:widowControl w:val="0"/>
        <w:snapToGrid w:val="0"/>
        <w:spacing w:line="340" w:lineRule="exact"/>
        <w:ind w:firstLine="910" w:firstLineChars="350"/>
        <w:rPr>
          <w:rFonts w:ascii="仿宋" w:hAnsi="仿宋" w:eastAsia="仿宋"/>
          <w:sz w:val="26"/>
          <w:szCs w:val="26"/>
        </w:rPr>
      </w:pPr>
      <w:r>
        <w:rPr>
          <w:rFonts w:hint="eastAsia" w:ascii="仿宋" w:hAnsi="仿宋" w:eastAsia="仿宋"/>
          <w:sz w:val="26"/>
          <w:szCs w:val="26"/>
        </w:rPr>
        <w:t>账号：35050188630000000118  </w:t>
      </w:r>
    </w:p>
    <w:p>
      <w:pPr>
        <w:widowControl w:val="0"/>
        <w:snapToGrid w:val="0"/>
        <w:spacing w:line="340" w:lineRule="exact"/>
        <w:rPr>
          <w:rFonts w:ascii="仿宋" w:hAnsi="仿宋" w:eastAsia="仿宋"/>
          <w:sz w:val="26"/>
          <w:szCs w:val="26"/>
        </w:rPr>
      </w:pPr>
      <w:r>
        <w:rPr>
          <w:rFonts w:hint="eastAsia" w:ascii="仿宋" w:hAnsi="仿宋" w:eastAsia="仿宋"/>
          <w:sz w:val="26"/>
          <w:szCs w:val="26"/>
        </w:rPr>
        <w:t xml:space="preserve">2、开户银行：农行晋安支行营业厅 </w:t>
      </w:r>
    </w:p>
    <w:p>
      <w:pPr>
        <w:widowControl w:val="0"/>
        <w:snapToGrid w:val="0"/>
        <w:spacing w:line="340" w:lineRule="exact"/>
        <w:ind w:firstLine="910" w:firstLineChars="350"/>
        <w:rPr>
          <w:rFonts w:ascii="仿宋" w:hAnsi="仿宋" w:eastAsia="仿宋"/>
          <w:sz w:val="26"/>
          <w:szCs w:val="26"/>
        </w:rPr>
      </w:pPr>
      <w:r>
        <w:rPr>
          <w:rFonts w:hint="eastAsia" w:ascii="仿宋" w:hAnsi="仿宋" w:eastAsia="仿宋"/>
          <w:sz w:val="26"/>
          <w:szCs w:val="26"/>
        </w:rPr>
        <w:t xml:space="preserve">帐号：13-135101040014551 </w:t>
      </w:r>
    </w:p>
    <w:p>
      <w:pPr>
        <w:widowControl w:val="0"/>
        <w:snapToGrid w:val="0"/>
        <w:spacing w:line="340" w:lineRule="exact"/>
        <w:rPr>
          <w:rFonts w:ascii="仿宋" w:hAnsi="仿宋" w:eastAsia="仿宋"/>
          <w:sz w:val="26"/>
          <w:szCs w:val="26"/>
        </w:rPr>
      </w:pPr>
      <w:r>
        <w:rPr>
          <w:rFonts w:hint="eastAsia" w:ascii="仿宋" w:hAnsi="仿宋" w:eastAsia="仿宋"/>
          <w:sz w:val="26"/>
          <w:szCs w:val="26"/>
        </w:rPr>
        <w:t>3、开户银行：福建闽侯中国农业发展银行闽侯县支行</w:t>
      </w:r>
    </w:p>
    <w:p>
      <w:pPr>
        <w:widowControl w:val="0"/>
        <w:snapToGrid w:val="0"/>
        <w:spacing w:line="340" w:lineRule="exact"/>
        <w:ind w:firstLine="910" w:firstLineChars="350"/>
        <w:rPr>
          <w:rFonts w:ascii="仿宋" w:hAnsi="仿宋" w:eastAsia="仿宋"/>
          <w:sz w:val="26"/>
          <w:szCs w:val="26"/>
        </w:rPr>
      </w:pPr>
      <w:r>
        <w:rPr>
          <w:rFonts w:hint="eastAsia" w:ascii="仿宋" w:hAnsi="仿宋" w:eastAsia="仿宋"/>
          <w:sz w:val="26"/>
          <w:szCs w:val="26"/>
        </w:rPr>
        <w:t xml:space="preserve">帐号：20335012100100000132251 </w:t>
      </w:r>
    </w:p>
    <w:p>
      <w:pPr>
        <w:widowControl w:val="0"/>
        <w:snapToGrid w:val="0"/>
        <w:spacing w:line="340" w:lineRule="exact"/>
        <w:ind w:firstLine="520" w:firstLineChars="200"/>
        <w:rPr>
          <w:rFonts w:ascii="仿宋" w:hAnsi="仿宋" w:eastAsia="仿宋"/>
          <w:sz w:val="26"/>
          <w:szCs w:val="26"/>
        </w:rPr>
      </w:pPr>
      <w:r>
        <w:rPr>
          <w:rFonts w:hint="eastAsia" w:ascii="仿宋" w:hAnsi="仿宋" w:eastAsia="仿宋"/>
          <w:sz w:val="26"/>
          <w:szCs w:val="26"/>
        </w:rPr>
        <w:t xml:space="preserve">上网查询：《榕粮网》www.fzgrain.com </w:t>
      </w:r>
    </w:p>
    <w:p>
      <w:pPr>
        <w:widowControl w:val="0"/>
        <w:snapToGrid w:val="0"/>
        <w:spacing w:line="340" w:lineRule="exact"/>
        <w:rPr>
          <w:rFonts w:ascii="仿宋" w:hAnsi="仿宋" w:eastAsia="仿宋"/>
          <w:sz w:val="26"/>
          <w:szCs w:val="26"/>
        </w:rPr>
      </w:pPr>
      <w:r>
        <w:rPr>
          <w:rFonts w:hint="eastAsia" w:ascii="仿宋" w:hAnsi="仿宋" w:eastAsia="仿宋"/>
          <w:sz w:val="26"/>
          <w:szCs w:val="26"/>
        </w:rPr>
        <w:t>联系电话：(0591) 22627830、22627879   联系人：林小姐、张小姐</w:t>
      </w:r>
    </w:p>
    <w:p>
      <w:pPr>
        <w:widowControl w:val="0"/>
        <w:snapToGrid w:val="0"/>
        <w:spacing w:line="340" w:lineRule="exact"/>
        <w:rPr>
          <w:rFonts w:hint="eastAsia" w:ascii="仿宋" w:hAnsi="仿宋" w:eastAsia="仿宋"/>
          <w:sz w:val="26"/>
          <w:szCs w:val="26"/>
        </w:rPr>
      </w:pPr>
      <w:r>
        <w:rPr>
          <w:rFonts w:hint="eastAsia" w:ascii="仿宋" w:hAnsi="仿宋" w:eastAsia="仿宋"/>
          <w:sz w:val="26"/>
          <w:szCs w:val="26"/>
        </w:rPr>
        <w:t xml:space="preserve">传真：（0591）22613463、22627879   </w:t>
      </w:r>
    </w:p>
    <w:p>
      <w:pPr>
        <w:widowControl w:val="0"/>
        <w:snapToGrid w:val="0"/>
        <w:spacing w:line="340" w:lineRule="exact"/>
        <w:rPr>
          <w:rFonts w:hint="eastAsia" w:ascii="仿宋" w:hAnsi="仿宋" w:eastAsia="仿宋"/>
          <w:sz w:val="26"/>
          <w:szCs w:val="26"/>
        </w:rPr>
      </w:pPr>
    </w:p>
    <w:p>
      <w:pPr>
        <w:widowControl w:val="0"/>
        <w:snapToGrid w:val="0"/>
        <w:spacing w:line="340" w:lineRule="exact"/>
        <w:rPr>
          <w:rFonts w:hint="eastAsia" w:ascii="仿宋" w:hAnsi="仿宋" w:eastAsia="仿宋"/>
          <w:sz w:val="26"/>
          <w:szCs w:val="26"/>
        </w:rPr>
      </w:pPr>
    </w:p>
    <w:p>
      <w:pPr>
        <w:widowControl w:val="0"/>
        <w:snapToGrid w:val="0"/>
        <w:spacing w:line="340" w:lineRule="exact"/>
        <w:rPr>
          <w:rFonts w:ascii="仿宋" w:hAnsi="仿宋" w:eastAsia="仿宋"/>
          <w:spacing w:val="-30"/>
          <w:sz w:val="26"/>
          <w:szCs w:val="26"/>
        </w:rPr>
      </w:pPr>
    </w:p>
    <w:p>
      <w:pPr>
        <w:widowControl w:val="0"/>
        <w:snapToGrid w:val="0"/>
        <w:spacing w:line="320" w:lineRule="exact"/>
        <w:jc w:val="right"/>
        <w:rPr>
          <w:rFonts w:ascii="仿宋" w:hAnsi="仿宋" w:eastAsia="仿宋"/>
          <w:spacing w:val="56"/>
          <w:sz w:val="28"/>
          <w:szCs w:val="28"/>
        </w:rPr>
      </w:pPr>
      <w:r>
        <w:rPr>
          <w:rFonts w:hint="eastAsia" w:ascii="仿宋" w:hAnsi="仿宋" w:eastAsia="仿宋"/>
          <w:spacing w:val="56"/>
          <w:sz w:val="28"/>
          <w:szCs w:val="28"/>
        </w:rPr>
        <w:t>福州国家粮食交易中心</w:t>
      </w:r>
    </w:p>
    <w:p>
      <w:pPr>
        <w:widowControl w:val="0"/>
        <w:snapToGrid w:val="0"/>
        <w:spacing w:line="320" w:lineRule="exact"/>
        <w:jc w:val="right"/>
        <w:rPr>
          <w:rFonts w:ascii="仿宋" w:hAnsi="仿宋" w:eastAsia="仿宋"/>
          <w:sz w:val="28"/>
          <w:szCs w:val="28"/>
        </w:rPr>
      </w:pPr>
      <w:r>
        <w:rPr>
          <w:rFonts w:ascii="仿宋" w:hAnsi="仿宋" w:eastAsia="仿宋"/>
          <w:sz w:val="28"/>
          <w:szCs w:val="28"/>
        </w:rPr>
        <w:t>福州杜坞粮食交易市场有限公司</w:t>
      </w:r>
    </w:p>
    <w:p>
      <w:pPr>
        <w:widowControl w:val="0"/>
        <w:snapToGrid w:val="0"/>
        <w:spacing w:line="320" w:lineRule="exact"/>
        <w:jc w:val="right"/>
        <w:rPr>
          <w:rFonts w:ascii="仿宋" w:hAnsi="仿宋" w:eastAsia="仿宋"/>
          <w:spacing w:val="36"/>
          <w:sz w:val="28"/>
          <w:szCs w:val="28"/>
        </w:rPr>
      </w:pPr>
      <w:r>
        <w:rPr>
          <w:rFonts w:hint="eastAsia" w:ascii="仿宋" w:hAnsi="仿宋" w:eastAsia="仿宋"/>
          <w:spacing w:val="36"/>
          <w:sz w:val="28"/>
          <w:szCs w:val="28"/>
        </w:rPr>
        <w:t>莆田市粮食集团有限公司</w:t>
      </w:r>
    </w:p>
    <w:p>
      <w:pPr>
        <w:widowControl w:val="0"/>
        <w:snapToGrid w:val="0"/>
        <w:spacing w:line="320" w:lineRule="exact"/>
        <w:jc w:val="right"/>
        <w:rPr>
          <w:rFonts w:ascii="宋体" w:hAnsi="宋体"/>
          <w:b/>
          <w:spacing w:val="-40"/>
          <w:sz w:val="44"/>
          <w:szCs w:val="44"/>
        </w:rPr>
      </w:pPr>
      <w:r>
        <w:rPr>
          <w:rFonts w:ascii="仿宋" w:hAnsi="仿宋" w:eastAsia="仿宋"/>
          <w:sz w:val="28"/>
          <w:szCs w:val="28"/>
        </w:rPr>
        <w:t xml:space="preserve">   2017年</w:t>
      </w:r>
      <w:r>
        <w:rPr>
          <w:rFonts w:hint="eastAsia" w:ascii="仿宋" w:hAnsi="仿宋" w:eastAsia="仿宋"/>
          <w:sz w:val="28"/>
          <w:szCs w:val="28"/>
        </w:rPr>
        <w:t>9月12日</w:t>
      </w:r>
    </w:p>
    <w:p>
      <w:pPr>
        <w:widowControl w:val="0"/>
        <w:snapToGrid w:val="0"/>
        <w:spacing w:line="493" w:lineRule="atLeast"/>
        <w:jc w:val="center"/>
        <w:rPr>
          <w:rFonts w:ascii="宋体" w:hAnsi="宋体"/>
          <w:b/>
          <w:spacing w:val="-40"/>
          <w:sz w:val="44"/>
          <w:szCs w:val="44"/>
        </w:rPr>
      </w:pPr>
      <w:r>
        <w:rPr>
          <w:rFonts w:hint="eastAsia" w:ascii="宋体" w:hAnsi="宋体"/>
          <w:b/>
          <w:spacing w:val="-40"/>
          <w:sz w:val="44"/>
          <w:szCs w:val="44"/>
        </w:rPr>
        <w:t>莆田市专项储备粮轮换竞价采购交易会</w:t>
      </w:r>
    </w:p>
    <w:p>
      <w:pPr>
        <w:widowControl w:val="0"/>
        <w:snapToGrid w:val="0"/>
        <w:spacing w:line="493" w:lineRule="atLeast"/>
        <w:jc w:val="center"/>
        <w:rPr>
          <w:rFonts w:ascii="宋体" w:hAnsi="宋体"/>
          <w:b/>
          <w:spacing w:val="-24"/>
          <w:sz w:val="44"/>
          <w:szCs w:val="44"/>
        </w:rPr>
      </w:pPr>
      <w:r>
        <w:rPr>
          <w:rFonts w:hint="eastAsia" w:ascii="宋体" w:hAnsi="宋体"/>
          <w:b/>
          <w:spacing w:val="-40"/>
          <w:sz w:val="44"/>
          <w:szCs w:val="44"/>
        </w:rPr>
        <w:t>（2017年第二场）</w:t>
      </w:r>
    </w:p>
    <w:p>
      <w:pPr>
        <w:widowControl w:val="0"/>
        <w:snapToGrid w:val="0"/>
        <w:spacing w:line="493" w:lineRule="atLeast"/>
        <w:jc w:val="center"/>
        <w:rPr>
          <w:rFonts w:ascii="宋体" w:hAnsi="宋体"/>
          <w:b/>
          <w:sz w:val="42"/>
        </w:rPr>
      </w:pPr>
      <w:r>
        <w:rPr>
          <w:rFonts w:hint="eastAsia" w:ascii="宋体" w:hAnsi="宋体"/>
          <w:b/>
          <w:sz w:val="44"/>
          <w:szCs w:val="44"/>
        </w:rPr>
        <w:t>日程表</w:t>
      </w:r>
    </w:p>
    <w:tbl>
      <w:tblPr>
        <w:tblStyle w:val="10"/>
        <w:tblpPr w:leftFromText="180" w:rightFromText="180" w:vertAnchor="page" w:horzAnchor="margin" w:tblpY="4621"/>
        <w:tblW w:w="8821"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67"/>
        <w:gridCol w:w="1436"/>
        <w:gridCol w:w="2334"/>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37" w:hRule="atLeast"/>
        </w:trPr>
        <w:tc>
          <w:tcPr>
            <w:tcW w:w="2867"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sz w:val="30"/>
              </w:rPr>
            </w:pPr>
            <w:r>
              <w:rPr>
                <w:rFonts w:hint="eastAsia" w:ascii="仿宋" w:hAnsi="仿宋" w:eastAsia="仿宋"/>
                <w:b/>
                <w:sz w:val="28"/>
              </w:rPr>
              <w:t>时   间</w:t>
            </w:r>
          </w:p>
        </w:tc>
        <w:tc>
          <w:tcPr>
            <w:tcW w:w="1436"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30"/>
              </w:rPr>
            </w:pPr>
            <w:r>
              <w:rPr>
                <w:rFonts w:hint="eastAsia" w:ascii="仿宋" w:hAnsi="仿宋" w:eastAsia="仿宋"/>
                <w:b/>
                <w:sz w:val="28"/>
              </w:rPr>
              <w:t>活动安排</w:t>
            </w:r>
          </w:p>
        </w:tc>
        <w:tc>
          <w:tcPr>
            <w:tcW w:w="2334"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30"/>
              </w:rPr>
            </w:pPr>
            <w:r>
              <w:rPr>
                <w:rFonts w:hint="eastAsia" w:ascii="仿宋" w:hAnsi="仿宋" w:eastAsia="仿宋"/>
                <w:b/>
                <w:sz w:val="28"/>
              </w:rPr>
              <w:t>地   点</w:t>
            </w:r>
          </w:p>
        </w:tc>
        <w:tc>
          <w:tcPr>
            <w:tcW w:w="2184"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30"/>
              </w:rPr>
            </w:pPr>
            <w:r>
              <w:rPr>
                <w:rFonts w:hint="eastAsia" w:ascii="仿宋" w:hAnsi="仿宋" w:eastAsia="仿宋"/>
                <w:b/>
                <w:sz w:val="28"/>
              </w:rPr>
              <w:t>主持单位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92" w:hRule="atLeast"/>
        </w:trPr>
        <w:tc>
          <w:tcPr>
            <w:tcW w:w="2867" w:type="dxa"/>
            <w:tcBorders>
              <w:top w:val="single" w:color="auto" w:sz="4" w:space="0"/>
              <w:left w:val="single" w:color="000000" w:sz="2" w:space="0"/>
              <w:bottom w:val="single" w:color="000000" w:sz="2" w:space="0"/>
              <w:right w:val="single" w:color="000000" w:sz="2" w:space="0"/>
            </w:tcBorders>
            <w:vAlign w:val="center"/>
          </w:tcPr>
          <w:p>
            <w:pPr>
              <w:pStyle w:val="2"/>
              <w:jc w:val="center"/>
              <w:rPr>
                <w:rFonts w:ascii="仿宋" w:hAnsi="仿宋" w:eastAsia="仿宋"/>
                <w:b w:val="0"/>
                <w:bCs/>
                <w:sz w:val="30"/>
              </w:rPr>
            </w:pPr>
            <w:r>
              <w:rPr>
                <w:rFonts w:hint="eastAsia" w:ascii="仿宋" w:hAnsi="仿宋" w:eastAsia="仿宋"/>
                <w:b w:val="0"/>
                <w:sz w:val="28"/>
                <w:szCs w:val="28"/>
              </w:rPr>
              <w:t>即日起至9月18日</w:t>
            </w:r>
            <w:r>
              <w:rPr>
                <w:rFonts w:ascii="仿宋" w:hAnsi="仿宋" w:eastAsia="仿宋"/>
                <w:b w:val="0"/>
                <w:sz w:val="28"/>
                <w:szCs w:val="28"/>
              </w:rPr>
              <w:t>(8:30-17:</w:t>
            </w:r>
            <w:r>
              <w:rPr>
                <w:rFonts w:hint="eastAsia" w:ascii="仿宋" w:hAnsi="仿宋" w:eastAsia="仿宋"/>
                <w:b w:val="0"/>
                <w:sz w:val="28"/>
                <w:szCs w:val="28"/>
              </w:rPr>
              <w:t>3</w:t>
            </w:r>
            <w:r>
              <w:rPr>
                <w:rFonts w:ascii="仿宋" w:hAnsi="仿宋" w:eastAsia="仿宋"/>
                <w:b w:val="0"/>
                <w:sz w:val="28"/>
                <w:szCs w:val="28"/>
              </w:rPr>
              <w:t>0)</w:t>
            </w:r>
          </w:p>
        </w:tc>
        <w:tc>
          <w:tcPr>
            <w:tcW w:w="1436" w:type="dxa"/>
            <w:tcBorders>
              <w:top w:val="single" w:color="auto" w:sz="4" w:space="0"/>
              <w:left w:val="single" w:color="auto" w:sz="4" w:space="0"/>
              <w:bottom w:val="single" w:color="000000" w:sz="2" w:space="0"/>
              <w:right w:val="single" w:color="000000" w:sz="2" w:space="0"/>
            </w:tcBorders>
            <w:vAlign w:val="center"/>
          </w:tcPr>
          <w:p>
            <w:pPr>
              <w:jc w:val="center"/>
              <w:rPr>
                <w:rFonts w:ascii="仿宋" w:hAnsi="仿宋" w:eastAsia="仿宋"/>
                <w:sz w:val="30"/>
              </w:rPr>
            </w:pPr>
            <w:r>
              <w:rPr>
                <w:rFonts w:hint="eastAsia" w:ascii="仿宋" w:hAnsi="仿宋" w:eastAsia="仿宋"/>
                <w:sz w:val="28"/>
              </w:rPr>
              <w:t>报名、远程交易培训</w:t>
            </w:r>
          </w:p>
        </w:tc>
        <w:tc>
          <w:tcPr>
            <w:tcW w:w="2334" w:type="dxa"/>
            <w:tcBorders>
              <w:top w:val="single" w:color="auto" w:sz="4" w:space="0"/>
              <w:left w:val="single" w:color="auto" w:sz="4" w:space="0"/>
              <w:bottom w:val="single" w:color="000000" w:sz="2" w:space="0"/>
              <w:right w:val="single" w:color="000000" w:sz="2" w:space="0"/>
            </w:tcBorders>
            <w:vAlign w:val="center"/>
          </w:tcPr>
          <w:p>
            <w:pPr>
              <w:widowControl w:val="0"/>
              <w:snapToGrid w:val="0"/>
              <w:spacing w:line="561" w:lineRule="atLeast"/>
              <w:jc w:val="center"/>
              <w:rPr>
                <w:rFonts w:ascii="仿宋" w:hAnsi="仿宋" w:eastAsia="仿宋"/>
                <w:sz w:val="30"/>
              </w:rPr>
            </w:pPr>
            <w:r>
              <w:rPr>
                <w:rFonts w:hint="eastAsia" w:ascii="仿宋" w:hAnsi="仿宋" w:eastAsia="仿宋"/>
                <w:sz w:val="28"/>
              </w:rPr>
              <w:t>福州市闽侯荆溪镇杜坞粮食批发交易市场</w:t>
            </w:r>
          </w:p>
        </w:tc>
        <w:tc>
          <w:tcPr>
            <w:tcW w:w="2184" w:type="dxa"/>
            <w:tcBorders>
              <w:top w:val="single" w:color="auto" w:sz="4" w:space="0"/>
              <w:left w:val="single" w:color="auto" w:sz="4" w:space="0"/>
              <w:bottom w:val="single" w:color="000000" w:sz="2" w:space="0"/>
              <w:right w:val="single" w:color="000000" w:sz="2" w:space="0"/>
            </w:tcBorders>
            <w:vAlign w:val="center"/>
          </w:tcPr>
          <w:p>
            <w:pPr>
              <w:widowControl w:val="0"/>
              <w:snapToGrid w:val="0"/>
              <w:spacing w:line="561" w:lineRule="atLeast"/>
              <w:jc w:val="center"/>
              <w:rPr>
                <w:rFonts w:ascii="仿宋" w:hAnsi="仿宋" w:eastAsia="仿宋"/>
                <w:sz w:val="30"/>
              </w:rPr>
            </w:pPr>
            <w:r>
              <w:rPr>
                <w:rFonts w:hint="eastAsia" w:ascii="仿宋" w:hAnsi="仿宋" w:eastAsia="仿宋"/>
                <w:sz w:val="28"/>
              </w:rPr>
              <w:t>福州杜坞粮食交易市场有限公司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23" w:hRule="atLeast"/>
        </w:trPr>
        <w:tc>
          <w:tcPr>
            <w:tcW w:w="2867" w:type="dxa"/>
            <w:tcBorders>
              <w:top w:val="single" w:color="auto" w:sz="4" w:space="0"/>
              <w:left w:val="single" w:color="000000" w:sz="2" w:space="0"/>
              <w:bottom w:val="single" w:color="000000" w:sz="2" w:space="0"/>
              <w:right w:val="single" w:color="000000" w:sz="2" w:space="0"/>
            </w:tcBorders>
            <w:vAlign w:val="center"/>
          </w:tcPr>
          <w:p>
            <w:pPr>
              <w:widowControl w:val="0"/>
              <w:snapToGrid w:val="0"/>
              <w:spacing w:line="532" w:lineRule="atLeast"/>
              <w:jc w:val="center"/>
              <w:rPr>
                <w:rFonts w:ascii="仿宋" w:hAnsi="仿宋" w:eastAsia="仿宋"/>
                <w:sz w:val="28"/>
                <w:szCs w:val="28"/>
              </w:rPr>
            </w:pPr>
            <w:r>
              <w:rPr>
                <w:rFonts w:hint="eastAsia" w:ascii="仿宋" w:hAnsi="仿宋" w:eastAsia="仿宋"/>
                <w:sz w:val="28"/>
                <w:szCs w:val="28"/>
              </w:rPr>
              <w:t>9月18日</w:t>
            </w:r>
          </w:p>
          <w:p>
            <w:pPr>
              <w:widowControl w:val="0"/>
              <w:snapToGrid w:val="0"/>
              <w:spacing w:line="351" w:lineRule="atLeast"/>
              <w:jc w:val="center"/>
              <w:rPr>
                <w:rFonts w:ascii="仿宋" w:hAnsi="仿宋" w:eastAsia="仿宋"/>
                <w:sz w:val="28"/>
                <w:szCs w:val="28"/>
              </w:rPr>
            </w:pPr>
          </w:p>
          <w:p>
            <w:pPr>
              <w:pStyle w:val="11"/>
              <w:widowControl w:val="0"/>
              <w:snapToGrid w:val="0"/>
              <w:spacing w:after="136" w:line="328" w:lineRule="atLeast"/>
              <w:ind w:firstLine="0"/>
              <w:jc w:val="center"/>
              <w:rPr>
                <w:rFonts w:ascii="仿宋" w:hAnsi="仿宋" w:eastAsia="仿宋"/>
                <w:sz w:val="30"/>
              </w:rPr>
            </w:pPr>
            <w:r>
              <w:rPr>
                <w:rFonts w:ascii="仿宋" w:hAnsi="仿宋" w:eastAsia="仿宋"/>
                <w:sz w:val="28"/>
                <w:szCs w:val="28"/>
              </w:rPr>
              <w:t>(</w:t>
            </w:r>
            <w:r>
              <w:rPr>
                <w:rFonts w:hint="eastAsia" w:ascii="仿宋" w:hAnsi="仿宋" w:eastAsia="仿宋"/>
                <w:sz w:val="28"/>
                <w:szCs w:val="28"/>
              </w:rPr>
              <w:t>17</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20：00</w:t>
            </w:r>
            <w:r>
              <w:rPr>
                <w:rFonts w:ascii="仿宋" w:hAnsi="仿宋" w:eastAsia="仿宋"/>
                <w:sz w:val="28"/>
                <w:szCs w:val="28"/>
              </w:rPr>
              <w:t>)</w:t>
            </w:r>
          </w:p>
        </w:tc>
        <w:tc>
          <w:tcPr>
            <w:tcW w:w="1436" w:type="dxa"/>
            <w:tcBorders>
              <w:top w:val="single" w:color="auto" w:sz="4" w:space="0"/>
              <w:left w:val="single" w:color="auto" w:sz="4" w:space="0"/>
              <w:bottom w:val="single" w:color="000000" w:sz="2" w:space="0"/>
              <w:right w:val="single" w:color="000000" w:sz="2" w:space="0"/>
            </w:tcBorders>
            <w:vAlign w:val="center"/>
          </w:tcPr>
          <w:p>
            <w:pPr>
              <w:jc w:val="center"/>
              <w:rPr>
                <w:rFonts w:ascii="仿宋" w:hAnsi="仿宋" w:eastAsia="仿宋"/>
                <w:sz w:val="30"/>
              </w:rPr>
            </w:pPr>
            <w:r>
              <w:rPr>
                <w:rFonts w:hint="eastAsia" w:ascii="仿宋" w:hAnsi="仿宋" w:eastAsia="仿宋"/>
                <w:sz w:val="28"/>
              </w:rPr>
              <w:t>电脑终端使用培训</w:t>
            </w:r>
          </w:p>
        </w:tc>
        <w:tc>
          <w:tcPr>
            <w:tcW w:w="2334" w:type="dxa"/>
            <w:tcBorders>
              <w:top w:val="single" w:color="auto" w:sz="4" w:space="0"/>
              <w:left w:val="single" w:color="auto" w:sz="4" w:space="0"/>
              <w:bottom w:val="single" w:color="000000" w:sz="2" w:space="0"/>
              <w:right w:val="single" w:color="000000" w:sz="2" w:space="0"/>
            </w:tcBorders>
            <w:vAlign w:val="center"/>
          </w:tcPr>
          <w:p>
            <w:pPr>
              <w:widowControl w:val="0"/>
              <w:snapToGrid w:val="0"/>
              <w:spacing w:line="561" w:lineRule="atLeast"/>
              <w:jc w:val="center"/>
              <w:rPr>
                <w:rFonts w:ascii="仿宋" w:hAnsi="仿宋" w:eastAsia="仿宋"/>
                <w:sz w:val="30"/>
              </w:rPr>
            </w:pPr>
            <w:r>
              <w:rPr>
                <w:rFonts w:hint="eastAsia" w:ascii="仿宋" w:hAnsi="仿宋" w:eastAsia="仿宋"/>
                <w:sz w:val="28"/>
              </w:rPr>
              <w:t>福州市闽侯荆溪镇杜坞粮食批发交易市场交易大厅</w:t>
            </w:r>
          </w:p>
        </w:tc>
        <w:tc>
          <w:tcPr>
            <w:tcW w:w="2184" w:type="dxa"/>
            <w:tcBorders>
              <w:top w:val="single" w:color="auto" w:sz="4" w:space="0"/>
              <w:left w:val="single" w:color="auto" w:sz="4" w:space="0"/>
              <w:bottom w:val="single" w:color="000000" w:sz="2" w:space="0"/>
              <w:right w:val="single" w:color="000000" w:sz="2" w:space="0"/>
            </w:tcBorders>
            <w:vAlign w:val="center"/>
          </w:tcPr>
          <w:p>
            <w:pPr>
              <w:widowControl w:val="0"/>
              <w:snapToGrid w:val="0"/>
              <w:spacing w:line="328" w:lineRule="atLeast"/>
              <w:jc w:val="center"/>
              <w:rPr>
                <w:rFonts w:ascii="仿宋" w:hAnsi="仿宋" w:eastAsia="仿宋"/>
                <w:sz w:val="30"/>
              </w:rPr>
            </w:pPr>
            <w:r>
              <w:rPr>
                <w:rFonts w:hint="eastAsia" w:ascii="仿宋" w:hAnsi="仿宋" w:eastAsia="仿宋"/>
                <w:sz w:val="28"/>
              </w:rPr>
              <w:t>福州杜坞粮食交易市场有限公司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04" w:hRule="atLeast"/>
        </w:trPr>
        <w:tc>
          <w:tcPr>
            <w:tcW w:w="2867" w:type="dxa"/>
            <w:tcBorders>
              <w:top w:val="single" w:color="auto" w:sz="4" w:space="0"/>
              <w:left w:val="single" w:color="000000" w:sz="2" w:space="0"/>
              <w:bottom w:val="single" w:color="000000" w:sz="2" w:space="0"/>
              <w:right w:val="single" w:color="000000" w:sz="2" w:space="0"/>
            </w:tcBorders>
            <w:vAlign w:val="center"/>
          </w:tcPr>
          <w:p>
            <w:pPr>
              <w:widowControl w:val="0"/>
              <w:snapToGrid w:val="0"/>
              <w:spacing w:line="532" w:lineRule="atLeast"/>
              <w:jc w:val="center"/>
              <w:rPr>
                <w:rFonts w:ascii="仿宋" w:hAnsi="仿宋" w:eastAsia="仿宋"/>
                <w:sz w:val="28"/>
                <w:szCs w:val="28"/>
              </w:rPr>
            </w:pPr>
            <w:r>
              <w:rPr>
                <w:rFonts w:hint="eastAsia" w:ascii="仿宋" w:hAnsi="仿宋" w:eastAsia="仿宋"/>
                <w:sz w:val="28"/>
                <w:szCs w:val="28"/>
              </w:rPr>
              <w:t>9月19日</w:t>
            </w:r>
          </w:p>
          <w:p>
            <w:pPr>
              <w:widowControl w:val="0"/>
              <w:snapToGrid w:val="0"/>
              <w:spacing w:line="561" w:lineRule="atLeast"/>
              <w:jc w:val="center"/>
              <w:rPr>
                <w:rFonts w:ascii="仿宋" w:hAnsi="仿宋" w:eastAsia="仿宋"/>
                <w:sz w:val="30"/>
              </w:rPr>
            </w:pPr>
            <w:r>
              <w:rPr>
                <w:rFonts w:ascii="仿宋" w:hAnsi="仿宋" w:eastAsia="仿宋"/>
                <w:sz w:val="28"/>
                <w:szCs w:val="28"/>
              </w:rPr>
              <w:t>(</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0开始)</w:t>
            </w:r>
          </w:p>
        </w:tc>
        <w:tc>
          <w:tcPr>
            <w:tcW w:w="1436" w:type="dxa"/>
            <w:tcBorders>
              <w:top w:val="single" w:color="auto" w:sz="4" w:space="0"/>
              <w:left w:val="single" w:color="auto" w:sz="4" w:space="0"/>
              <w:bottom w:val="single" w:color="000000" w:sz="2" w:space="0"/>
              <w:right w:val="single" w:color="000000" w:sz="2" w:space="0"/>
            </w:tcBorders>
            <w:vAlign w:val="center"/>
          </w:tcPr>
          <w:p>
            <w:pPr>
              <w:jc w:val="center"/>
              <w:rPr>
                <w:rFonts w:ascii="仿宋" w:hAnsi="仿宋" w:eastAsia="仿宋"/>
                <w:sz w:val="30"/>
              </w:rPr>
            </w:pPr>
            <w:r>
              <w:rPr>
                <w:rFonts w:hint="eastAsia" w:ascii="仿宋" w:hAnsi="仿宋" w:eastAsia="仿宋"/>
                <w:sz w:val="28"/>
              </w:rPr>
              <w:t>竞价交易会</w:t>
            </w:r>
          </w:p>
        </w:tc>
        <w:tc>
          <w:tcPr>
            <w:tcW w:w="2334" w:type="dxa"/>
            <w:tcBorders>
              <w:top w:val="single" w:color="auto" w:sz="4" w:space="0"/>
              <w:left w:val="single" w:color="auto" w:sz="4" w:space="0"/>
              <w:bottom w:val="single" w:color="000000" w:sz="2" w:space="0"/>
              <w:right w:val="single" w:color="000000" w:sz="2" w:space="0"/>
            </w:tcBorders>
            <w:vAlign w:val="center"/>
          </w:tcPr>
          <w:p>
            <w:pPr>
              <w:widowControl w:val="0"/>
              <w:snapToGrid w:val="0"/>
              <w:spacing w:line="561" w:lineRule="atLeast"/>
              <w:jc w:val="center"/>
              <w:rPr>
                <w:rFonts w:ascii="仿宋" w:hAnsi="仿宋" w:eastAsia="仿宋"/>
                <w:sz w:val="30"/>
              </w:rPr>
            </w:pPr>
            <w:r>
              <w:rPr>
                <w:rFonts w:hint="eastAsia" w:ascii="仿宋" w:hAnsi="仿宋" w:eastAsia="仿宋"/>
                <w:sz w:val="28"/>
              </w:rPr>
              <w:t>福州市闽侯荆溪镇杜坞粮食批发交易市场交易大厅</w:t>
            </w:r>
          </w:p>
        </w:tc>
        <w:tc>
          <w:tcPr>
            <w:tcW w:w="2184" w:type="dxa"/>
            <w:tcBorders>
              <w:top w:val="single" w:color="auto" w:sz="4" w:space="0"/>
              <w:left w:val="single" w:color="auto" w:sz="4" w:space="0"/>
              <w:bottom w:val="single" w:color="000000" w:sz="2" w:space="0"/>
              <w:right w:val="single" w:color="000000" w:sz="2" w:space="0"/>
            </w:tcBorders>
            <w:vAlign w:val="center"/>
          </w:tcPr>
          <w:p>
            <w:pPr>
              <w:widowControl w:val="0"/>
              <w:snapToGrid w:val="0"/>
              <w:spacing w:line="561" w:lineRule="atLeast"/>
              <w:jc w:val="center"/>
              <w:rPr>
                <w:rFonts w:ascii="仿宋" w:hAnsi="仿宋" w:eastAsia="仿宋"/>
                <w:sz w:val="30"/>
              </w:rPr>
            </w:pPr>
            <w:r>
              <w:rPr>
                <w:rFonts w:hint="eastAsia" w:ascii="仿宋" w:hAnsi="仿宋" w:eastAsia="仿宋"/>
                <w:sz w:val="28"/>
              </w:rPr>
              <w:t>福州杜坞粮食交易市场有限公司</w:t>
            </w:r>
          </w:p>
        </w:tc>
      </w:tr>
    </w:tbl>
    <w:p>
      <w:pPr>
        <w:widowControl w:val="0"/>
        <w:snapToGrid w:val="0"/>
        <w:spacing w:line="595" w:lineRule="atLeast"/>
        <w:rPr>
          <w:rFonts w:ascii="仿宋_GB2312" w:eastAsia="仿宋_GB2312"/>
          <w:sz w:val="47"/>
        </w:rPr>
      </w:pPr>
    </w:p>
    <w:p>
      <w:pPr>
        <w:widowControl w:val="0"/>
        <w:snapToGrid w:val="0"/>
        <w:spacing w:line="493" w:lineRule="atLeast"/>
        <w:rPr>
          <w:rFonts w:ascii="仿宋_GB2312" w:eastAsia="仿宋_GB2312"/>
          <w:sz w:val="47"/>
        </w:rPr>
      </w:pPr>
    </w:p>
    <w:p>
      <w:pPr>
        <w:widowControl w:val="0"/>
        <w:snapToGrid w:val="0"/>
        <w:spacing w:line="493" w:lineRule="atLeast"/>
        <w:jc w:val="center"/>
        <w:rPr>
          <w:rFonts w:ascii="宋体" w:hAnsi="宋体"/>
          <w:b/>
          <w:spacing w:val="-40"/>
          <w:sz w:val="44"/>
          <w:szCs w:val="44"/>
        </w:rPr>
      </w:pPr>
    </w:p>
    <w:p>
      <w:pPr>
        <w:widowControl w:val="0"/>
        <w:snapToGrid w:val="0"/>
        <w:spacing w:line="493" w:lineRule="atLeast"/>
        <w:jc w:val="center"/>
        <w:rPr>
          <w:rFonts w:ascii="宋体" w:hAnsi="宋体"/>
          <w:b/>
          <w:spacing w:val="-40"/>
          <w:sz w:val="44"/>
          <w:szCs w:val="44"/>
        </w:rPr>
      </w:pPr>
    </w:p>
    <w:p>
      <w:pPr>
        <w:widowControl w:val="0"/>
        <w:snapToGrid w:val="0"/>
        <w:spacing w:line="493" w:lineRule="atLeast"/>
        <w:jc w:val="center"/>
        <w:rPr>
          <w:rFonts w:ascii="宋体" w:hAnsi="宋体"/>
          <w:b/>
          <w:spacing w:val="-40"/>
          <w:sz w:val="44"/>
          <w:szCs w:val="44"/>
        </w:rPr>
      </w:pPr>
      <w:r>
        <w:rPr>
          <w:rFonts w:hint="eastAsia" w:ascii="宋体" w:hAnsi="宋体"/>
          <w:b/>
          <w:spacing w:val="-40"/>
          <w:sz w:val="44"/>
          <w:szCs w:val="44"/>
        </w:rPr>
        <w:t>莆田市专项储备粮轮换竞价采购交易会</w:t>
      </w:r>
    </w:p>
    <w:p>
      <w:pPr>
        <w:widowControl w:val="0"/>
        <w:snapToGrid w:val="0"/>
        <w:spacing w:line="634" w:lineRule="atLeast"/>
        <w:jc w:val="center"/>
        <w:rPr>
          <w:rFonts w:ascii="宋体" w:hAnsi="宋体"/>
          <w:b/>
          <w:spacing w:val="-40"/>
          <w:sz w:val="44"/>
          <w:szCs w:val="44"/>
        </w:rPr>
      </w:pPr>
      <w:r>
        <w:rPr>
          <w:rFonts w:hint="eastAsia" w:ascii="宋体" w:hAnsi="宋体"/>
          <w:b/>
          <w:spacing w:val="-40"/>
          <w:sz w:val="44"/>
          <w:szCs w:val="44"/>
        </w:rPr>
        <w:t>（2017年第二场）</w:t>
      </w:r>
    </w:p>
    <w:p>
      <w:pPr>
        <w:widowControl w:val="0"/>
        <w:snapToGrid w:val="0"/>
        <w:spacing w:line="634" w:lineRule="atLeast"/>
        <w:jc w:val="center"/>
        <w:rPr>
          <w:rFonts w:ascii="宋体" w:hAnsi="宋体"/>
          <w:b/>
          <w:spacing w:val="-40"/>
          <w:sz w:val="44"/>
          <w:szCs w:val="44"/>
        </w:rPr>
      </w:pPr>
      <w:r>
        <w:rPr>
          <w:rFonts w:ascii="宋体" w:hAnsi="宋体"/>
          <w:b/>
          <w:sz w:val="44"/>
          <w:szCs w:val="44"/>
        </w:rPr>
        <w:t>交易规则</w:t>
      </w:r>
    </w:p>
    <w:p>
      <w:pPr>
        <w:widowControl w:val="0"/>
        <w:snapToGrid w:val="0"/>
        <w:spacing w:line="460" w:lineRule="exact"/>
        <w:ind w:firstLine="559" w:firstLineChars="240"/>
        <w:rPr>
          <w:rFonts w:ascii="仿宋" w:hAnsi="仿宋" w:eastAsia="仿宋"/>
          <w:b/>
          <w:spacing w:val="-24"/>
          <w:sz w:val="28"/>
          <w:szCs w:val="28"/>
        </w:rPr>
      </w:pPr>
    </w:p>
    <w:p>
      <w:pPr>
        <w:widowControl w:val="0"/>
        <w:snapToGrid w:val="0"/>
        <w:spacing w:line="460" w:lineRule="exact"/>
        <w:ind w:firstLine="561"/>
        <w:rPr>
          <w:rFonts w:ascii="仿宋" w:hAnsi="仿宋" w:eastAsia="仿宋"/>
          <w:spacing w:val="-24"/>
          <w:sz w:val="28"/>
          <w:szCs w:val="28"/>
        </w:rPr>
      </w:pPr>
      <w:r>
        <w:rPr>
          <w:rFonts w:hint="eastAsia" w:ascii="仿宋" w:hAnsi="仿宋" w:eastAsia="仿宋"/>
          <w:b/>
          <w:spacing w:val="-24"/>
          <w:sz w:val="28"/>
          <w:szCs w:val="28"/>
        </w:rPr>
        <w:t>第一条</w:t>
      </w:r>
      <w:r>
        <w:rPr>
          <w:rFonts w:hint="eastAsia" w:ascii="仿宋" w:hAnsi="仿宋" w:eastAsia="仿宋"/>
          <w:spacing w:val="-24"/>
          <w:sz w:val="28"/>
          <w:szCs w:val="28"/>
        </w:rPr>
        <w:t xml:space="preserve">    根据有关法律、法规、政策，本着公开、公平、公正的交易原则，制订本规则。交易当事人必须遵守本规则，并对执行本规则的行为负责。</w:t>
      </w:r>
    </w:p>
    <w:p>
      <w:pPr>
        <w:widowControl w:val="0"/>
        <w:snapToGrid w:val="0"/>
        <w:spacing w:line="460" w:lineRule="exact"/>
        <w:ind w:firstLine="561"/>
        <w:rPr>
          <w:rFonts w:ascii="仿宋" w:hAnsi="仿宋" w:eastAsia="仿宋"/>
          <w:spacing w:val="-11"/>
          <w:sz w:val="26"/>
          <w:szCs w:val="26"/>
        </w:rPr>
      </w:pPr>
      <w:r>
        <w:rPr>
          <w:rFonts w:hint="eastAsia" w:ascii="仿宋" w:hAnsi="仿宋" w:eastAsia="仿宋"/>
          <w:b/>
          <w:spacing w:val="-24"/>
          <w:sz w:val="28"/>
          <w:szCs w:val="28"/>
        </w:rPr>
        <w:t>第二条</w:t>
      </w:r>
      <w:r>
        <w:rPr>
          <w:rFonts w:hint="eastAsia" w:ascii="仿宋" w:hAnsi="仿宋" w:eastAsia="仿宋"/>
          <w:spacing w:val="-24"/>
          <w:sz w:val="28"/>
          <w:szCs w:val="28"/>
        </w:rPr>
        <w:t xml:space="preserve">    本场交易会竞价采购标的为：2017年度生产的早籼稻14153.509吨。具体指标详见《2017年莆田市专项储备粮（稻谷）采购合同》（样本），具体数量以交易会当场公布为准</w:t>
      </w:r>
      <w:r>
        <w:rPr>
          <w:rFonts w:hint="eastAsia" w:ascii="仿宋" w:hAnsi="仿宋" w:eastAsia="仿宋"/>
          <w:spacing w:val="-11"/>
          <w:sz w:val="26"/>
          <w:szCs w:val="26"/>
        </w:rPr>
        <w:t>。</w:t>
      </w:r>
    </w:p>
    <w:p>
      <w:pPr>
        <w:widowControl w:val="0"/>
        <w:snapToGrid w:val="0"/>
        <w:spacing w:line="460" w:lineRule="exact"/>
        <w:ind w:firstLine="561"/>
        <w:rPr>
          <w:rFonts w:ascii="仿宋" w:hAnsi="仿宋" w:eastAsia="仿宋"/>
          <w:spacing w:val="-24"/>
          <w:sz w:val="28"/>
          <w:szCs w:val="28"/>
        </w:rPr>
      </w:pPr>
      <w:r>
        <w:rPr>
          <w:rFonts w:hint="eastAsia" w:ascii="仿宋" w:hAnsi="仿宋" w:eastAsia="仿宋"/>
          <w:b/>
          <w:spacing w:val="-30"/>
          <w:sz w:val="28"/>
          <w:szCs w:val="28"/>
        </w:rPr>
        <w:t xml:space="preserve">第三条   </w:t>
      </w:r>
      <w:r>
        <w:rPr>
          <w:rFonts w:hint="eastAsia" w:ascii="仿宋" w:hAnsi="仿宋" w:eastAsia="仿宋"/>
          <w:spacing w:val="-24"/>
          <w:sz w:val="28"/>
          <w:szCs w:val="28"/>
        </w:rPr>
        <w:t>具有工商行政管理部门批准的，有良好信誉的，从事粮食经营的企业法人、个体经营户，初次报名需携带《营业执照》（副本）原件及加盖单位公章的复印件，加盖单位公章的法人身份证复印件，填写“福建省福州粮食批发交易市场互联网远程竞价交易固定席位会员登记确认表”注册成为地方储备粮交易客户，领取密钥。已在福州粮食批发交易市场注册的地方储备粮交易客户，向福州杜坞粮食交易市场有限公司传真加盖单位公章的《营业执照》（副本）复印件及法人代表身份证复印件，法人代表签字、单位盖章的《远程竞标保证书》即可报名登记。经确认资格后，</w:t>
      </w:r>
      <w:r>
        <w:rPr>
          <w:rFonts w:hint="eastAsia" w:ascii="仿宋" w:hAnsi="仿宋" w:eastAsia="仿宋"/>
          <w:b/>
          <w:color w:val="FF0000"/>
          <w:spacing w:val="-24"/>
          <w:sz w:val="28"/>
          <w:szCs w:val="28"/>
        </w:rPr>
        <w:t>按每吨人民币160元交纳交易履约保证金</w:t>
      </w:r>
      <w:r>
        <w:rPr>
          <w:rFonts w:hint="eastAsia" w:ascii="仿宋" w:hAnsi="仿宋" w:eastAsia="仿宋"/>
          <w:spacing w:val="-24"/>
          <w:sz w:val="28"/>
          <w:szCs w:val="28"/>
        </w:rPr>
        <w:t>后成为远程固定席位会员，成为正式竞标人，否则不视为正式竞标人。</w:t>
      </w:r>
    </w:p>
    <w:p>
      <w:pPr>
        <w:widowControl w:val="0"/>
        <w:snapToGrid w:val="0"/>
        <w:spacing w:line="460" w:lineRule="exact"/>
        <w:ind w:firstLine="531" w:firstLineChars="240"/>
        <w:rPr>
          <w:rFonts w:ascii="仿宋" w:hAnsi="仿宋" w:eastAsia="仿宋"/>
          <w:spacing w:val="-24"/>
          <w:sz w:val="28"/>
          <w:szCs w:val="28"/>
        </w:rPr>
      </w:pPr>
      <w:r>
        <w:rPr>
          <w:rFonts w:hint="eastAsia" w:ascii="仿宋" w:hAnsi="仿宋" w:eastAsia="仿宋"/>
          <w:b/>
          <w:spacing w:val="-30"/>
          <w:sz w:val="28"/>
          <w:szCs w:val="28"/>
        </w:rPr>
        <w:t xml:space="preserve">第四条   </w:t>
      </w:r>
      <w:r>
        <w:rPr>
          <w:rFonts w:hint="eastAsia" w:ascii="仿宋" w:hAnsi="仿宋" w:eastAsia="仿宋"/>
          <w:spacing w:val="-24"/>
          <w:sz w:val="28"/>
          <w:szCs w:val="28"/>
        </w:rPr>
        <w:t>正式竞标人应根据所交纳的交易履约保证金的限量参加竞标，一旦超过限量，系统将在互联网远程终端提示“保证金不足”并停止其在超限量标的上的竞价操作。</w:t>
      </w:r>
    </w:p>
    <w:p>
      <w:pPr>
        <w:widowControl w:val="0"/>
        <w:snapToGrid w:val="0"/>
        <w:spacing w:line="460" w:lineRule="exact"/>
        <w:ind w:firstLine="531" w:firstLineChars="240"/>
        <w:rPr>
          <w:rFonts w:ascii="仿宋" w:hAnsi="仿宋" w:eastAsia="仿宋"/>
          <w:spacing w:val="-24"/>
          <w:sz w:val="28"/>
          <w:szCs w:val="28"/>
        </w:rPr>
      </w:pPr>
      <w:r>
        <w:rPr>
          <w:rFonts w:hint="eastAsia" w:ascii="仿宋" w:hAnsi="仿宋" w:eastAsia="仿宋"/>
          <w:b/>
          <w:spacing w:val="-30"/>
          <w:sz w:val="28"/>
          <w:szCs w:val="28"/>
        </w:rPr>
        <w:t xml:space="preserve">第五条 </w:t>
      </w:r>
      <w:r>
        <w:rPr>
          <w:rFonts w:hint="eastAsia" w:ascii="仿宋" w:hAnsi="仿宋" w:eastAsia="仿宋"/>
          <w:spacing w:val="-24"/>
          <w:sz w:val="28"/>
          <w:szCs w:val="28"/>
        </w:rPr>
        <w:t xml:space="preserve">  本场交易会采用 “非现场互联网竞价有最高限价减价”的交易方式。本场交易会委托方设有保留价，起点价高于或等于保留价。 </w:t>
      </w:r>
    </w:p>
    <w:p>
      <w:pPr>
        <w:widowControl w:val="0"/>
        <w:snapToGrid w:val="0"/>
        <w:spacing w:line="460" w:lineRule="exact"/>
        <w:ind w:firstLine="556" w:firstLineChars="240"/>
        <w:rPr>
          <w:rFonts w:ascii="仿宋" w:hAnsi="仿宋" w:eastAsia="仿宋"/>
          <w:spacing w:val="-24"/>
          <w:sz w:val="28"/>
          <w:szCs w:val="28"/>
        </w:rPr>
      </w:pPr>
      <w:r>
        <w:rPr>
          <w:rFonts w:hint="eastAsia" w:ascii="仿宋" w:hAnsi="仿宋" w:eastAsia="仿宋"/>
          <w:spacing w:val="-24"/>
          <w:sz w:val="28"/>
          <w:szCs w:val="28"/>
        </w:rPr>
        <w:t>互联网远程竞价。竞标人需先提前申请互联网远程交易的固定席位号及密钥。在公告规定的交易时间进入《榕粮网》上的交易大厅http://59.56.182.140:8888/gts，插入密钥、输入用户名和密码，选择交易场次即可进入交易界面参加竞价（具体操作可参照《福州粮食批发交易市场网上交易大厅使用手册》）。</w:t>
      </w:r>
      <w:r>
        <w:rPr>
          <w:rFonts w:hint="eastAsia" w:ascii="仿宋" w:hAnsi="仿宋" w:eastAsia="仿宋"/>
          <w:bCs/>
          <w:spacing w:val="-30"/>
          <w:sz w:val="28"/>
          <w:szCs w:val="28"/>
        </w:rPr>
        <w:t>终端屏幕会显示场内即时价格，并在竞标人应价成功时，显示其自身牌</w:t>
      </w:r>
      <w:r>
        <w:rPr>
          <w:rFonts w:ascii="仿宋" w:hAnsi="仿宋" w:eastAsia="仿宋"/>
          <w:bCs/>
          <w:spacing w:val="-30"/>
          <w:sz w:val="28"/>
          <w:szCs w:val="28"/>
        </w:rPr>
        <w:t>(</w:t>
      </w:r>
      <w:r>
        <w:rPr>
          <w:rFonts w:hint="eastAsia" w:ascii="仿宋" w:hAnsi="仿宋" w:eastAsia="仿宋"/>
          <w:bCs/>
          <w:spacing w:val="-30"/>
          <w:sz w:val="28"/>
          <w:szCs w:val="28"/>
        </w:rPr>
        <w:t>席位</w:t>
      </w:r>
      <w:r>
        <w:rPr>
          <w:rFonts w:ascii="仿宋" w:hAnsi="仿宋" w:eastAsia="仿宋"/>
          <w:bCs/>
          <w:spacing w:val="-30"/>
          <w:sz w:val="28"/>
          <w:szCs w:val="28"/>
        </w:rPr>
        <w:t>)</w:t>
      </w:r>
      <w:r>
        <w:rPr>
          <w:rFonts w:hint="eastAsia" w:ascii="仿宋" w:hAnsi="仿宋" w:eastAsia="仿宋"/>
          <w:bCs/>
          <w:spacing w:val="-30"/>
          <w:sz w:val="28"/>
          <w:szCs w:val="28"/>
        </w:rPr>
        <w:t>号，否则牌</w:t>
      </w:r>
      <w:r>
        <w:rPr>
          <w:rFonts w:ascii="仿宋" w:hAnsi="仿宋" w:eastAsia="仿宋"/>
          <w:bCs/>
          <w:spacing w:val="-30"/>
          <w:sz w:val="28"/>
          <w:szCs w:val="28"/>
        </w:rPr>
        <w:t>(</w:t>
      </w:r>
      <w:r>
        <w:rPr>
          <w:rFonts w:hint="eastAsia" w:ascii="仿宋" w:hAnsi="仿宋" w:eastAsia="仿宋"/>
          <w:bCs/>
          <w:spacing w:val="-30"/>
          <w:sz w:val="28"/>
          <w:szCs w:val="28"/>
        </w:rPr>
        <w:t>席位</w:t>
      </w:r>
      <w:r>
        <w:rPr>
          <w:rFonts w:ascii="仿宋" w:hAnsi="仿宋" w:eastAsia="仿宋"/>
          <w:bCs/>
          <w:spacing w:val="-30"/>
          <w:sz w:val="28"/>
          <w:szCs w:val="28"/>
        </w:rPr>
        <w:t>)</w:t>
      </w:r>
      <w:r>
        <w:rPr>
          <w:rFonts w:hint="eastAsia" w:ascii="仿宋" w:hAnsi="仿宋" w:eastAsia="仿宋"/>
          <w:bCs/>
          <w:spacing w:val="-30"/>
          <w:sz w:val="28"/>
          <w:szCs w:val="28"/>
        </w:rPr>
        <w:t>号显示为星号（</w:t>
      </w:r>
      <w:r>
        <w:rPr>
          <w:rFonts w:ascii="仿宋" w:hAnsi="仿宋" w:eastAsia="仿宋"/>
          <w:bCs/>
          <w:spacing w:val="-30"/>
          <w:sz w:val="28"/>
          <w:szCs w:val="28"/>
        </w:rPr>
        <w:t>*</w:t>
      </w:r>
      <w:r>
        <w:rPr>
          <w:rFonts w:hint="eastAsia" w:ascii="仿宋" w:hAnsi="仿宋" w:eastAsia="仿宋"/>
          <w:bCs/>
          <w:spacing w:val="-30"/>
          <w:sz w:val="28"/>
          <w:szCs w:val="28"/>
        </w:rPr>
        <w:t>）。</w:t>
      </w:r>
      <w:r>
        <w:rPr>
          <w:rFonts w:hint="eastAsia" w:ascii="仿宋" w:hAnsi="仿宋" w:eastAsia="仿宋"/>
          <w:spacing w:val="-24"/>
          <w:sz w:val="28"/>
          <w:szCs w:val="28"/>
        </w:rPr>
        <w:t>后一位出价者即表示愿出比前一位低出一个减价幅度的价格竞得该标的，依此类推，出价最低者交易系统以50秒的倒计时，以示成交。</w:t>
      </w:r>
    </w:p>
    <w:p>
      <w:pPr>
        <w:widowControl w:val="0"/>
        <w:snapToGrid w:val="0"/>
        <w:spacing w:line="440" w:lineRule="exact"/>
        <w:ind w:firstLine="444" w:firstLineChars="202"/>
        <w:rPr>
          <w:rFonts w:ascii="仿宋" w:hAnsi="仿宋" w:eastAsia="仿宋"/>
          <w:color w:val="auto"/>
          <w:spacing w:val="-30"/>
          <w:sz w:val="28"/>
          <w:szCs w:val="28"/>
        </w:rPr>
      </w:pPr>
      <w:r>
        <w:rPr>
          <w:rFonts w:hint="eastAsia" w:ascii="仿宋" w:hAnsi="仿宋" w:eastAsia="仿宋"/>
          <w:color w:val="auto"/>
          <w:spacing w:val="-30"/>
          <w:sz w:val="28"/>
          <w:szCs w:val="28"/>
        </w:rPr>
        <w:t>本场交易会委托方设有保留价，</w:t>
      </w:r>
      <w:r>
        <w:rPr>
          <w:rFonts w:ascii="仿宋" w:hAnsi="仿宋" w:eastAsia="仿宋"/>
          <w:color w:val="auto"/>
          <w:spacing w:val="-30"/>
          <w:sz w:val="28"/>
          <w:szCs w:val="28"/>
        </w:rPr>
        <w:t>最</w:t>
      </w:r>
      <w:r>
        <w:rPr>
          <w:rFonts w:hint="eastAsia" w:ascii="仿宋" w:hAnsi="仿宋" w:eastAsia="仿宋"/>
          <w:color w:val="auto"/>
          <w:spacing w:val="-30"/>
          <w:sz w:val="28"/>
          <w:szCs w:val="28"/>
        </w:rPr>
        <w:t>低</w:t>
      </w:r>
      <w:r>
        <w:rPr>
          <w:rFonts w:ascii="仿宋" w:hAnsi="仿宋" w:eastAsia="仿宋"/>
          <w:color w:val="auto"/>
          <w:spacing w:val="-30"/>
          <w:sz w:val="28"/>
          <w:szCs w:val="28"/>
        </w:rPr>
        <w:t>应价</w:t>
      </w:r>
      <w:r>
        <w:rPr>
          <w:rFonts w:hint="eastAsia" w:ascii="仿宋" w:hAnsi="仿宋" w:eastAsia="仿宋"/>
          <w:color w:val="auto"/>
          <w:spacing w:val="-30"/>
          <w:sz w:val="28"/>
          <w:szCs w:val="28"/>
        </w:rPr>
        <w:t>未达到保留价的，系统倒计时至1秒，该标的收回；</w:t>
      </w:r>
      <w:r>
        <w:rPr>
          <w:rFonts w:ascii="仿宋" w:hAnsi="仿宋" w:eastAsia="仿宋"/>
          <w:color w:val="auto"/>
          <w:spacing w:val="-30"/>
          <w:sz w:val="28"/>
          <w:szCs w:val="28"/>
        </w:rPr>
        <w:t>最</w:t>
      </w:r>
      <w:r>
        <w:rPr>
          <w:rFonts w:hint="eastAsia" w:ascii="仿宋" w:hAnsi="仿宋" w:eastAsia="仿宋"/>
          <w:color w:val="auto"/>
          <w:spacing w:val="-30"/>
          <w:sz w:val="28"/>
          <w:szCs w:val="28"/>
        </w:rPr>
        <w:t>低</w:t>
      </w:r>
      <w:r>
        <w:rPr>
          <w:rFonts w:ascii="仿宋" w:hAnsi="仿宋" w:eastAsia="仿宋"/>
          <w:color w:val="auto"/>
          <w:spacing w:val="-30"/>
          <w:sz w:val="28"/>
          <w:szCs w:val="28"/>
        </w:rPr>
        <w:t>应价</w:t>
      </w:r>
      <w:r>
        <w:rPr>
          <w:rFonts w:hint="eastAsia" w:ascii="仿宋" w:hAnsi="仿宋" w:eastAsia="仿宋"/>
          <w:color w:val="auto"/>
          <w:spacing w:val="-30"/>
          <w:sz w:val="28"/>
          <w:szCs w:val="28"/>
        </w:rPr>
        <w:t>超过保留价的，该标的成交，</w:t>
      </w:r>
      <w:r>
        <w:rPr>
          <w:rFonts w:ascii="仿宋" w:hAnsi="仿宋" w:eastAsia="仿宋"/>
          <w:color w:val="auto"/>
          <w:spacing w:val="-30"/>
          <w:sz w:val="28"/>
          <w:szCs w:val="28"/>
        </w:rPr>
        <w:t>竞得</w:t>
      </w:r>
      <w:r>
        <w:rPr>
          <w:rFonts w:hint="eastAsia" w:ascii="仿宋" w:hAnsi="仿宋" w:eastAsia="仿宋"/>
          <w:color w:val="auto"/>
          <w:spacing w:val="-30"/>
          <w:sz w:val="28"/>
          <w:szCs w:val="28"/>
        </w:rPr>
        <w:t>该</w:t>
      </w:r>
      <w:r>
        <w:rPr>
          <w:rFonts w:ascii="仿宋" w:hAnsi="仿宋" w:eastAsia="仿宋"/>
          <w:color w:val="auto"/>
          <w:spacing w:val="-30"/>
          <w:sz w:val="28"/>
          <w:szCs w:val="28"/>
        </w:rPr>
        <w:t>标的的竞标人即成为</w:t>
      </w:r>
      <w:r>
        <w:rPr>
          <w:rFonts w:hint="eastAsia" w:ascii="仿宋" w:hAnsi="仿宋" w:eastAsia="仿宋"/>
          <w:color w:val="auto"/>
          <w:spacing w:val="-30"/>
          <w:sz w:val="28"/>
          <w:szCs w:val="28"/>
        </w:rPr>
        <w:t>买受人</w:t>
      </w:r>
      <w:r>
        <w:rPr>
          <w:rFonts w:ascii="仿宋" w:hAnsi="仿宋" w:eastAsia="仿宋"/>
          <w:color w:val="auto"/>
          <w:spacing w:val="-30"/>
          <w:sz w:val="28"/>
          <w:szCs w:val="28"/>
        </w:rPr>
        <w:t>。</w:t>
      </w:r>
    </w:p>
    <w:p>
      <w:pPr>
        <w:widowControl w:val="0"/>
        <w:snapToGrid w:val="0"/>
        <w:spacing w:line="460" w:lineRule="exact"/>
        <w:ind w:firstLine="583" w:firstLineChars="250"/>
        <w:rPr>
          <w:rFonts w:ascii="仿宋" w:hAnsi="仿宋" w:eastAsia="仿宋"/>
          <w:b/>
          <w:bCs/>
          <w:color w:val="FF0000"/>
          <w:spacing w:val="-24"/>
          <w:sz w:val="28"/>
          <w:szCs w:val="28"/>
        </w:rPr>
      </w:pPr>
      <w:r>
        <w:rPr>
          <w:rFonts w:hint="eastAsia" w:ascii="仿宋" w:hAnsi="仿宋" w:eastAsia="仿宋"/>
          <w:b/>
          <w:bCs/>
          <w:color w:val="FF0000"/>
          <w:spacing w:val="-24"/>
          <w:sz w:val="28"/>
          <w:szCs w:val="28"/>
        </w:rPr>
        <w:t>竞价采购成交单价为指定入库点麻袋包装堆叠或散装入库完毕单价（所报价格均为买方仓库交货价，入库时的运输、搬运等一切进仓费用由中标人负担）。</w:t>
      </w:r>
    </w:p>
    <w:p>
      <w:pPr>
        <w:widowControl w:val="0"/>
        <w:snapToGrid w:val="0"/>
        <w:spacing w:line="460" w:lineRule="exact"/>
        <w:ind w:firstLine="531" w:firstLineChars="240"/>
        <w:rPr>
          <w:rFonts w:ascii="仿宋" w:hAnsi="仿宋" w:eastAsia="仿宋"/>
          <w:spacing w:val="-24"/>
          <w:sz w:val="28"/>
          <w:szCs w:val="28"/>
        </w:rPr>
      </w:pPr>
      <w:r>
        <w:rPr>
          <w:rFonts w:hint="eastAsia" w:ascii="仿宋" w:hAnsi="仿宋" w:eastAsia="仿宋"/>
          <w:b/>
          <w:spacing w:val="-30"/>
          <w:sz w:val="28"/>
          <w:szCs w:val="28"/>
        </w:rPr>
        <w:t xml:space="preserve">第六条   </w:t>
      </w:r>
      <w:r>
        <w:rPr>
          <w:rFonts w:hint="eastAsia" w:ascii="仿宋" w:hAnsi="仿宋" w:eastAsia="仿宋"/>
          <w:spacing w:val="-24"/>
          <w:sz w:val="28"/>
          <w:szCs w:val="28"/>
        </w:rPr>
        <w:t>竞标人使用互联网远程电脑终端的每一次应价都是法律意义上的承诺，对于竞标人本身具有约束力，竞标人一经应价，不得反悔，否则须承担违约责任，违约者所交纳的交易履约保证金不予退还。</w:t>
      </w:r>
    </w:p>
    <w:p>
      <w:pPr>
        <w:widowControl w:val="0"/>
        <w:snapToGrid w:val="0"/>
        <w:spacing w:line="460" w:lineRule="exact"/>
        <w:ind w:firstLine="531" w:firstLineChars="240"/>
        <w:rPr>
          <w:rFonts w:ascii="仿宋" w:hAnsi="仿宋" w:eastAsia="仿宋"/>
          <w:b/>
          <w:spacing w:val="-30"/>
          <w:sz w:val="28"/>
          <w:szCs w:val="28"/>
        </w:rPr>
      </w:pPr>
      <w:r>
        <w:rPr>
          <w:rFonts w:hint="eastAsia" w:ascii="仿宋" w:hAnsi="仿宋" w:eastAsia="仿宋"/>
          <w:b/>
          <w:spacing w:val="-30"/>
          <w:sz w:val="28"/>
          <w:szCs w:val="28"/>
        </w:rPr>
        <w:t xml:space="preserve"> 第七条  </w:t>
      </w:r>
      <w:r>
        <w:rPr>
          <w:rFonts w:hint="eastAsia" w:ascii="仿宋" w:hAnsi="仿宋" w:eastAsia="仿宋"/>
          <w:bCs/>
          <w:spacing w:val="-30"/>
          <w:sz w:val="28"/>
          <w:szCs w:val="28"/>
        </w:rPr>
        <w:t>如交易服务器受到非法入侵造成交易混乱，竞价交易师有权决定暂停或取消交易。在竞价交易过程中，如电子竞价交易系统自身发生故障，出现混乱，故障短时间能修复的，交易会继续使用电子竞价的交易方式进行。如短时间无法修复的，已竞价的标的交易会予以承认，未竞价的标的择日竞价。</w:t>
      </w:r>
    </w:p>
    <w:p>
      <w:pPr>
        <w:widowControl w:val="0"/>
        <w:snapToGrid w:val="0"/>
        <w:spacing w:line="460" w:lineRule="exact"/>
        <w:ind w:firstLine="531" w:firstLineChars="240"/>
        <w:rPr>
          <w:rFonts w:ascii="仿宋" w:hAnsi="仿宋" w:eastAsia="仿宋"/>
          <w:spacing w:val="-24"/>
          <w:sz w:val="28"/>
          <w:szCs w:val="28"/>
        </w:rPr>
      </w:pPr>
      <w:r>
        <w:rPr>
          <w:rFonts w:hint="eastAsia" w:ascii="仿宋" w:hAnsi="仿宋" w:eastAsia="仿宋"/>
          <w:b/>
          <w:spacing w:val="-30"/>
          <w:sz w:val="28"/>
          <w:szCs w:val="28"/>
        </w:rPr>
        <w:t xml:space="preserve">第八条 </w:t>
      </w:r>
      <w:r>
        <w:rPr>
          <w:rFonts w:hint="eastAsia" w:ascii="仿宋" w:hAnsi="仿宋" w:eastAsia="仿宋"/>
          <w:spacing w:val="-24"/>
          <w:sz w:val="28"/>
          <w:szCs w:val="28"/>
        </w:rPr>
        <w:t xml:space="preserve">  使用互联网远程交易的中标人，中标后即刻以传真的方式与本公司签署《成交确认书》，必须谨慎填写，不得更改，未及时签署《成交确认书》的视为中标人违约。</w:t>
      </w:r>
    </w:p>
    <w:p>
      <w:pPr>
        <w:widowControl w:val="0"/>
        <w:snapToGrid w:val="0"/>
        <w:spacing w:line="460" w:lineRule="exact"/>
        <w:ind w:firstLine="531" w:firstLineChars="240"/>
        <w:rPr>
          <w:rFonts w:ascii="仿宋" w:hAnsi="仿宋" w:eastAsia="仿宋"/>
          <w:spacing w:val="-24"/>
          <w:sz w:val="28"/>
          <w:szCs w:val="28"/>
        </w:rPr>
      </w:pPr>
      <w:r>
        <w:rPr>
          <w:rFonts w:hint="eastAsia" w:ascii="仿宋" w:hAnsi="仿宋" w:eastAsia="仿宋"/>
          <w:b/>
          <w:spacing w:val="-30"/>
          <w:sz w:val="28"/>
          <w:szCs w:val="28"/>
        </w:rPr>
        <w:t xml:space="preserve">第九条 </w:t>
      </w:r>
      <w:r>
        <w:rPr>
          <w:rFonts w:hint="eastAsia" w:ascii="仿宋" w:hAnsi="仿宋" w:eastAsia="仿宋"/>
          <w:spacing w:val="-24"/>
          <w:sz w:val="28"/>
          <w:szCs w:val="28"/>
        </w:rPr>
        <w:t xml:space="preserve">  中标人凭《成交确认书》原件或《成交确认书》传真件及营业执照副本原件于2017年9月22日前同委托方签订《2017年莆田市专项储备粮（稻谷）采购合同》（以下简称《采购合同》），《采购合同》已提供样本，中标人已阅读并全部接受相关条款，中标人未经本公司同意不得修改《采购合同》。中标人未按时签订《采购合同》的视为中标人违约。</w:t>
      </w:r>
    </w:p>
    <w:p>
      <w:pPr>
        <w:widowControl w:val="0"/>
        <w:snapToGrid w:val="0"/>
        <w:spacing w:line="460" w:lineRule="exact"/>
        <w:ind w:firstLine="531" w:firstLineChars="240"/>
        <w:rPr>
          <w:rFonts w:ascii="仿宋" w:hAnsi="仿宋" w:eastAsia="仿宋"/>
          <w:spacing w:val="-24"/>
          <w:sz w:val="28"/>
          <w:szCs w:val="28"/>
        </w:rPr>
      </w:pPr>
      <w:r>
        <w:rPr>
          <w:rFonts w:hint="eastAsia" w:ascii="仿宋" w:hAnsi="仿宋" w:eastAsia="仿宋"/>
          <w:b/>
          <w:spacing w:val="-30"/>
          <w:sz w:val="28"/>
          <w:szCs w:val="28"/>
        </w:rPr>
        <w:t xml:space="preserve">第十条 </w:t>
      </w:r>
      <w:r>
        <w:rPr>
          <w:rFonts w:hint="eastAsia" w:ascii="仿宋" w:hAnsi="仿宋" w:eastAsia="仿宋"/>
          <w:spacing w:val="-24"/>
          <w:sz w:val="28"/>
          <w:szCs w:val="28"/>
        </w:rPr>
        <w:t xml:space="preserve">   凡属中标人违约的行为，中标人所应交纳的交易履约保证金不予退还。</w:t>
      </w:r>
    </w:p>
    <w:p>
      <w:pPr>
        <w:widowControl w:val="0"/>
        <w:snapToGrid w:val="0"/>
        <w:spacing w:line="460" w:lineRule="exact"/>
        <w:ind w:firstLine="531" w:firstLineChars="240"/>
        <w:rPr>
          <w:rFonts w:ascii="仿宋" w:hAnsi="仿宋" w:eastAsia="仿宋"/>
          <w:spacing w:val="-24"/>
          <w:sz w:val="28"/>
          <w:szCs w:val="28"/>
        </w:rPr>
      </w:pPr>
      <w:r>
        <w:rPr>
          <w:rFonts w:hint="eastAsia" w:ascii="仿宋" w:hAnsi="仿宋" w:eastAsia="仿宋"/>
          <w:b/>
          <w:spacing w:val="-30"/>
          <w:sz w:val="28"/>
          <w:szCs w:val="28"/>
        </w:rPr>
        <w:t xml:space="preserve">第十一条 </w:t>
      </w:r>
      <w:r>
        <w:rPr>
          <w:rFonts w:hint="eastAsia" w:ascii="仿宋" w:hAnsi="仿宋" w:eastAsia="仿宋"/>
          <w:spacing w:val="-24"/>
          <w:sz w:val="28"/>
          <w:szCs w:val="28"/>
        </w:rPr>
        <w:t xml:space="preserve">  中标人所交纳的交易履约保证金由福州杜坞粮食交易市场有限公司，在交易会结束后三个工作日内转汇至委托方作为合同履约保证金。</w:t>
      </w:r>
    </w:p>
    <w:p>
      <w:pPr>
        <w:widowControl w:val="0"/>
        <w:snapToGrid w:val="0"/>
        <w:spacing w:line="460" w:lineRule="exact"/>
        <w:ind w:firstLine="531" w:firstLineChars="240"/>
        <w:rPr>
          <w:rFonts w:ascii="仿宋" w:hAnsi="仿宋" w:eastAsia="仿宋"/>
          <w:spacing w:val="-24"/>
          <w:sz w:val="28"/>
          <w:szCs w:val="28"/>
        </w:rPr>
      </w:pPr>
      <w:r>
        <w:rPr>
          <w:rFonts w:hint="eastAsia" w:ascii="仿宋" w:hAnsi="仿宋" w:eastAsia="仿宋"/>
          <w:b/>
          <w:spacing w:val="-30"/>
          <w:sz w:val="28"/>
          <w:szCs w:val="28"/>
        </w:rPr>
        <w:t xml:space="preserve">第十二条    </w:t>
      </w:r>
      <w:r>
        <w:rPr>
          <w:rFonts w:hint="eastAsia" w:ascii="仿宋" w:hAnsi="仿宋" w:eastAsia="仿宋"/>
          <w:spacing w:val="-24"/>
          <w:sz w:val="28"/>
          <w:szCs w:val="28"/>
        </w:rPr>
        <w:t>中标人货款结算方式和交货方式按《采购合同》执行。《采购合同》履行完毕，无息退还合同履约保证金。违反《采购合同》的，按《采购合同》条款处理。</w:t>
      </w:r>
    </w:p>
    <w:p>
      <w:pPr>
        <w:pStyle w:val="12"/>
        <w:spacing w:line="460" w:lineRule="exact"/>
        <w:ind w:firstLine="466" w:firstLineChars="200"/>
        <w:jc w:val="both"/>
        <w:rPr>
          <w:rFonts w:ascii="仿宋" w:hAnsi="仿宋" w:eastAsia="仿宋"/>
          <w:b/>
          <w:color w:val="FF0000"/>
          <w:spacing w:val="-24"/>
          <w:sz w:val="28"/>
          <w:szCs w:val="28"/>
        </w:rPr>
      </w:pPr>
      <w:r>
        <w:rPr>
          <w:rFonts w:hint="eastAsia" w:ascii="仿宋" w:hAnsi="仿宋" w:eastAsia="仿宋"/>
          <w:b/>
          <w:color w:val="FF0000"/>
          <w:spacing w:val="-24"/>
          <w:sz w:val="28"/>
          <w:szCs w:val="28"/>
        </w:rPr>
        <w:t>交货时限和特别约定：详见《莆田市专项储备粮轮换竞价采购交易会2017年（第二场）标的清单》规定的时间和要求交付标的物（运输由中标人负责，不另计运费和装卸费；所需麻袋，不作价，不计重，由中标人无偿提供），如果不按期交货或不按入库要求进仓，须征得采购方同意。否则，视为违约，没收履约保证金，并追究经济、法律责任。</w:t>
      </w:r>
    </w:p>
    <w:p>
      <w:pPr>
        <w:widowControl w:val="0"/>
        <w:snapToGrid w:val="0"/>
        <w:spacing w:line="460" w:lineRule="exact"/>
        <w:ind w:firstLine="466" w:firstLineChars="200"/>
        <w:rPr>
          <w:rFonts w:ascii="仿宋" w:hAnsi="仿宋" w:eastAsia="仿宋"/>
          <w:b/>
          <w:color w:val="FF0000"/>
          <w:spacing w:val="-24"/>
          <w:sz w:val="28"/>
          <w:szCs w:val="28"/>
        </w:rPr>
      </w:pPr>
      <w:r>
        <w:rPr>
          <w:rFonts w:hint="eastAsia" w:ascii="仿宋" w:hAnsi="仿宋" w:eastAsia="仿宋"/>
          <w:b/>
          <w:color w:val="FF0000"/>
          <w:spacing w:val="-24"/>
          <w:sz w:val="28"/>
          <w:szCs w:val="28"/>
        </w:rPr>
        <w:t>货款结算方式特别说明：需方以单个完整标的作为一个结算单位。供方须将货物全部进仓至需方指定仓库完毕后，由有资质的粮油质量监督检测机构按规定对“粮食卫生指标”、</w:t>
      </w:r>
      <w:r>
        <w:rPr>
          <w:rFonts w:hint="eastAsia" w:ascii="仿宋" w:eastAsia="仿宋"/>
          <w:b/>
          <w:color w:val="FF0000"/>
          <w:spacing w:val="-24"/>
          <w:sz w:val="28"/>
          <w:szCs w:val="28"/>
        </w:rPr>
        <w:t> </w:t>
      </w:r>
      <w:r>
        <w:rPr>
          <w:rFonts w:hint="eastAsia" w:ascii="仿宋" w:hAnsi="仿宋" w:eastAsia="仿宋"/>
          <w:b/>
          <w:color w:val="FF0000"/>
          <w:spacing w:val="-24"/>
          <w:sz w:val="28"/>
          <w:szCs w:val="28"/>
        </w:rPr>
        <w:t>“食品安全指标”、“品尝评分值指标”</w:t>
      </w:r>
      <w:r>
        <w:rPr>
          <w:rFonts w:hint="eastAsia" w:ascii="仿宋" w:eastAsia="仿宋"/>
          <w:b/>
          <w:color w:val="FF0000"/>
          <w:spacing w:val="-24"/>
          <w:sz w:val="28"/>
          <w:szCs w:val="28"/>
        </w:rPr>
        <w:t> </w:t>
      </w:r>
      <w:r>
        <w:rPr>
          <w:rFonts w:hint="eastAsia" w:ascii="仿宋" w:hAnsi="仿宋" w:eastAsia="仿宋"/>
          <w:b/>
          <w:color w:val="FF0000"/>
          <w:spacing w:val="-24"/>
          <w:sz w:val="28"/>
          <w:szCs w:val="28"/>
        </w:rPr>
        <w:t>进行扦样检测。检验合格后，需方凭供方与接收仓库签定的收货凭证和正规税务发票，在三个工作日内付给供方货款。</w:t>
      </w:r>
    </w:p>
    <w:p>
      <w:pPr>
        <w:widowControl w:val="0"/>
        <w:snapToGrid w:val="0"/>
        <w:spacing w:line="460" w:lineRule="exact"/>
        <w:ind w:firstLine="531" w:firstLineChars="240"/>
        <w:rPr>
          <w:rFonts w:ascii="仿宋" w:hAnsi="仿宋" w:eastAsia="仿宋"/>
          <w:spacing w:val="-24"/>
          <w:sz w:val="28"/>
          <w:szCs w:val="28"/>
        </w:rPr>
      </w:pPr>
      <w:r>
        <w:rPr>
          <w:rFonts w:hint="eastAsia" w:ascii="仿宋" w:hAnsi="仿宋" w:eastAsia="仿宋"/>
          <w:b/>
          <w:spacing w:val="-30"/>
          <w:sz w:val="28"/>
          <w:szCs w:val="28"/>
        </w:rPr>
        <w:t xml:space="preserve">第十三条 </w:t>
      </w:r>
      <w:r>
        <w:rPr>
          <w:rFonts w:hint="eastAsia" w:ascii="仿宋" w:hAnsi="仿宋" w:eastAsia="仿宋"/>
          <w:spacing w:val="-24"/>
          <w:sz w:val="28"/>
          <w:szCs w:val="28"/>
        </w:rPr>
        <w:t xml:space="preserve">   本场交易会的成交手续费由委托方负担。</w:t>
      </w:r>
    </w:p>
    <w:p>
      <w:pPr>
        <w:widowControl w:val="0"/>
        <w:snapToGrid w:val="0"/>
        <w:spacing w:line="460" w:lineRule="exact"/>
        <w:ind w:firstLine="531" w:firstLineChars="240"/>
        <w:rPr>
          <w:rFonts w:ascii="仿宋" w:hAnsi="仿宋" w:eastAsia="仿宋"/>
          <w:spacing w:val="-24"/>
          <w:sz w:val="28"/>
          <w:szCs w:val="28"/>
        </w:rPr>
      </w:pPr>
      <w:r>
        <w:rPr>
          <w:rFonts w:hint="eastAsia" w:ascii="仿宋" w:hAnsi="仿宋" w:eastAsia="仿宋"/>
          <w:b/>
          <w:spacing w:val="-30"/>
          <w:sz w:val="28"/>
          <w:szCs w:val="28"/>
        </w:rPr>
        <w:t>第十四条</w:t>
      </w:r>
      <w:r>
        <w:rPr>
          <w:rFonts w:hint="eastAsia" w:ascii="仿宋" w:hAnsi="仿宋" w:eastAsia="仿宋"/>
          <w:spacing w:val="-24"/>
          <w:sz w:val="28"/>
          <w:szCs w:val="28"/>
        </w:rPr>
        <w:t xml:space="preserve">   未中标者及中标者多交的交易履约保证金，在交易会结束后三个工作日内由福州杜坞粮食交易市场有限公司如数无息退还。</w:t>
      </w:r>
    </w:p>
    <w:p>
      <w:pPr>
        <w:widowControl w:val="0"/>
        <w:snapToGrid w:val="0"/>
        <w:spacing w:line="460" w:lineRule="exact"/>
        <w:ind w:firstLine="531" w:firstLineChars="240"/>
        <w:rPr>
          <w:rFonts w:ascii="仿宋" w:hAnsi="仿宋" w:eastAsia="仿宋"/>
          <w:spacing w:val="-24"/>
          <w:sz w:val="28"/>
          <w:szCs w:val="28"/>
        </w:rPr>
      </w:pPr>
      <w:r>
        <w:rPr>
          <w:rFonts w:hint="eastAsia" w:ascii="仿宋" w:hAnsi="仿宋" w:eastAsia="仿宋"/>
          <w:b/>
          <w:spacing w:val="-30"/>
          <w:sz w:val="28"/>
          <w:szCs w:val="28"/>
        </w:rPr>
        <w:t xml:space="preserve">第十五条 </w:t>
      </w:r>
      <w:r>
        <w:rPr>
          <w:rFonts w:hint="eastAsia" w:ascii="仿宋" w:hAnsi="仿宋" w:eastAsia="仿宋"/>
          <w:spacing w:val="-24"/>
          <w:sz w:val="28"/>
          <w:szCs w:val="28"/>
        </w:rPr>
        <w:t xml:space="preserve">   竞标人应详细阅读本文件书的全部内容，详细了解标的有关资料及交易规则。参加本交易会的即表示已充分了解和认可竞价标的的状况，故应对自己的竞标行为负责。</w:t>
      </w:r>
    </w:p>
    <w:p>
      <w:pPr>
        <w:widowControl w:val="0"/>
        <w:snapToGrid w:val="0"/>
        <w:spacing w:line="460" w:lineRule="exact"/>
        <w:ind w:firstLine="531" w:firstLineChars="240"/>
        <w:rPr>
          <w:rFonts w:ascii="仿宋" w:hAnsi="仿宋" w:eastAsia="仿宋"/>
          <w:spacing w:val="-24"/>
          <w:sz w:val="28"/>
          <w:szCs w:val="28"/>
        </w:rPr>
      </w:pPr>
      <w:r>
        <w:rPr>
          <w:rFonts w:hint="eastAsia" w:ascii="仿宋" w:hAnsi="仿宋" w:eastAsia="仿宋"/>
          <w:b/>
          <w:spacing w:val="-30"/>
          <w:sz w:val="28"/>
          <w:szCs w:val="28"/>
        </w:rPr>
        <w:t xml:space="preserve">第十六条  </w:t>
      </w:r>
      <w:r>
        <w:rPr>
          <w:rFonts w:hint="eastAsia" w:ascii="仿宋" w:hAnsi="仿宋" w:eastAsia="仿宋"/>
          <w:spacing w:val="-24"/>
          <w:sz w:val="28"/>
          <w:szCs w:val="28"/>
        </w:rPr>
        <w:t xml:space="preserve"> 钥匙、密码等为竞标人的资格凭证，属竞标人的商业机密，应妥善保管，如丢失或泄露责任自负。</w:t>
      </w:r>
    </w:p>
    <w:p>
      <w:pPr>
        <w:widowControl w:val="0"/>
        <w:snapToGrid w:val="0"/>
        <w:spacing w:line="460" w:lineRule="exact"/>
        <w:ind w:firstLine="559" w:firstLineChars="240"/>
        <w:rPr>
          <w:rFonts w:ascii="仿宋" w:hAnsi="仿宋" w:eastAsia="仿宋"/>
          <w:spacing w:val="-24"/>
          <w:sz w:val="28"/>
          <w:szCs w:val="28"/>
        </w:rPr>
      </w:pPr>
      <w:r>
        <w:rPr>
          <w:rFonts w:hint="eastAsia" w:ascii="仿宋" w:hAnsi="仿宋" w:eastAsia="仿宋"/>
          <w:b/>
          <w:spacing w:val="-24"/>
          <w:sz w:val="28"/>
          <w:szCs w:val="28"/>
        </w:rPr>
        <w:t>第十七条</w:t>
      </w:r>
      <w:r>
        <w:rPr>
          <w:rFonts w:hint="eastAsia" w:ascii="仿宋" w:hAnsi="仿宋" w:eastAsia="仿宋"/>
          <w:spacing w:val="-24"/>
          <w:sz w:val="28"/>
          <w:szCs w:val="28"/>
        </w:rPr>
        <w:t xml:space="preserve">   远程交易的竞标人应选择性能良好的计算机并配备快速的宽带接入互联网，以保证交易数据的通畅，本场交易会现场不提供硬件终端和交易席位,但为每个竞标人开通交易会现场的同步音、视频，竞标人可根据自身的计算机及网络速度状况在不影响交易的情况下，选择性地通过《榕粮网》上的交易大厅http://www.fzgrain.com/dzjjxt.asp中的“电子竞价交易观摩”进入观看。</w:t>
      </w:r>
    </w:p>
    <w:p>
      <w:pPr>
        <w:widowControl w:val="0"/>
        <w:snapToGrid w:val="0"/>
        <w:spacing w:line="460" w:lineRule="exact"/>
        <w:ind w:firstLine="556" w:firstLineChars="240"/>
        <w:rPr>
          <w:rFonts w:ascii="仿宋" w:hAnsi="仿宋" w:eastAsia="仿宋"/>
          <w:spacing w:val="-24"/>
          <w:sz w:val="28"/>
          <w:szCs w:val="28"/>
        </w:rPr>
      </w:pPr>
      <w:r>
        <w:rPr>
          <w:rFonts w:hint="eastAsia" w:ascii="仿宋" w:hAnsi="仿宋" w:eastAsia="仿宋"/>
          <w:spacing w:val="-24"/>
          <w:sz w:val="28"/>
          <w:szCs w:val="28"/>
        </w:rPr>
        <w:t xml:space="preserve">竞标人如因自身计算机硬件设备或当地宽带接入故障造成的交易失败，应自行承担责任。在交易会期间，若因互联网服务商原因造成的交易服务器所在地互联网无法正常接入，以及交易服务器受到非法入侵等其他不可抗力事件，交易会将择期举行。 </w:t>
      </w:r>
    </w:p>
    <w:p>
      <w:pPr>
        <w:widowControl w:val="0"/>
        <w:snapToGrid w:val="0"/>
        <w:spacing w:line="460" w:lineRule="exact"/>
        <w:ind w:firstLine="559" w:firstLineChars="240"/>
        <w:jc w:val="left"/>
        <w:rPr>
          <w:rFonts w:ascii="仿宋" w:hAnsi="仿宋" w:eastAsia="仿宋"/>
          <w:spacing w:val="-30"/>
          <w:sz w:val="28"/>
          <w:szCs w:val="28"/>
        </w:rPr>
      </w:pPr>
      <w:r>
        <w:rPr>
          <w:rFonts w:hint="eastAsia" w:ascii="仿宋" w:hAnsi="仿宋" w:eastAsia="仿宋"/>
          <w:b/>
          <w:spacing w:val="-24"/>
          <w:sz w:val="28"/>
          <w:szCs w:val="28"/>
        </w:rPr>
        <w:t>第十八条</w:t>
      </w:r>
      <w:r>
        <w:rPr>
          <w:rFonts w:hint="eastAsia" w:ascii="仿宋" w:hAnsi="仿宋" w:eastAsia="仿宋"/>
          <w:spacing w:val="-24"/>
          <w:sz w:val="28"/>
          <w:szCs w:val="28"/>
        </w:rPr>
        <w:t xml:space="preserve">    若本场交易会流标的标的，应委托方书面要求，在底价不变的前提下，按照交易会流程在交易会结束后，可将流标的标的重新竞价。</w:t>
      </w:r>
      <w:r>
        <w:rPr>
          <w:rFonts w:hint="eastAsia" w:ascii="仿宋" w:hAnsi="仿宋" w:eastAsia="仿宋"/>
          <w:spacing w:val="-24"/>
          <w:sz w:val="28"/>
          <w:szCs w:val="28"/>
        </w:rPr>
        <w:br w:type="textWrapping"/>
      </w:r>
      <w:r>
        <w:rPr>
          <w:rFonts w:hint="eastAsia" w:ascii="仿宋" w:hAnsi="仿宋" w:eastAsia="仿宋"/>
          <w:b/>
          <w:spacing w:val="-30"/>
          <w:sz w:val="28"/>
          <w:szCs w:val="28"/>
        </w:rPr>
        <w:t xml:space="preserve">       第十九条 </w:t>
      </w:r>
      <w:r>
        <w:rPr>
          <w:rFonts w:hint="eastAsia" w:ascii="仿宋" w:hAnsi="仿宋" w:eastAsia="仿宋"/>
          <w:spacing w:val="-24"/>
          <w:sz w:val="28"/>
          <w:szCs w:val="28"/>
        </w:rPr>
        <w:t xml:space="preserve">    对于竞标人故意歪曲事实、弄虚作假、诬告陷害、严重违背诚实守信等行为，经查实后，视情节轻重，由市场给予警告、通告、暂停交易、取消交易资格等处罚，并同步记入国家粮油竞价交易系统交易会员诚信档案；对违规违纪行为，由有关部门按国家有关法律法规处理。 </w:t>
      </w:r>
      <w:r>
        <w:rPr>
          <w:rFonts w:hint="eastAsia" w:ascii="仿宋" w:hAnsi="仿宋" w:eastAsia="仿宋"/>
          <w:spacing w:val="-24"/>
          <w:sz w:val="28"/>
          <w:szCs w:val="28"/>
        </w:rPr>
        <w:br w:type="textWrapping"/>
      </w:r>
      <w:r>
        <w:rPr>
          <w:rFonts w:hint="eastAsia" w:ascii="仿宋" w:hAnsi="仿宋" w:eastAsia="仿宋"/>
          <w:b/>
          <w:spacing w:val="-30"/>
          <w:sz w:val="28"/>
          <w:szCs w:val="28"/>
        </w:rPr>
        <w:t xml:space="preserve">      第二十条  </w:t>
      </w:r>
      <w:r>
        <w:rPr>
          <w:rFonts w:hint="eastAsia" w:ascii="仿宋" w:hAnsi="仿宋" w:eastAsia="仿宋"/>
          <w:spacing w:val="-30"/>
          <w:sz w:val="28"/>
          <w:szCs w:val="28"/>
        </w:rPr>
        <w:t xml:space="preserve">交易过程如发现违规问题，可拨打12315向闽侯县工商局进行投诉。交易过程出现的商务纠纷，由当事人协商解决。协商不成的，向福建省闽侯县人民法院提起诉讼。 </w:t>
      </w:r>
    </w:p>
    <w:p>
      <w:pPr>
        <w:widowControl w:val="0"/>
        <w:snapToGrid w:val="0"/>
        <w:spacing w:line="460" w:lineRule="exact"/>
        <w:jc w:val="left"/>
        <w:rPr>
          <w:rFonts w:ascii="仿宋" w:hAnsi="仿宋" w:eastAsia="仿宋"/>
          <w:spacing w:val="-24"/>
          <w:sz w:val="28"/>
          <w:szCs w:val="28"/>
        </w:rPr>
      </w:pPr>
      <w:r>
        <w:rPr>
          <w:rFonts w:hint="eastAsia" w:ascii="仿宋" w:eastAsia="仿宋"/>
          <w:spacing w:val="-24"/>
          <w:sz w:val="28"/>
          <w:szCs w:val="28"/>
        </w:rPr>
        <w:t xml:space="preserve">        </w:t>
      </w:r>
      <w:r>
        <w:rPr>
          <w:rFonts w:hint="eastAsia" w:ascii="仿宋" w:hAnsi="仿宋" w:eastAsia="仿宋"/>
          <w:b/>
          <w:spacing w:val="-30"/>
          <w:sz w:val="28"/>
          <w:szCs w:val="28"/>
        </w:rPr>
        <w:t xml:space="preserve">第二十一条  </w:t>
      </w:r>
      <w:r>
        <w:rPr>
          <w:rFonts w:hint="eastAsia" w:ascii="仿宋" w:hAnsi="仿宋" w:eastAsia="仿宋"/>
          <w:spacing w:val="-24"/>
          <w:sz w:val="28"/>
          <w:szCs w:val="28"/>
        </w:rPr>
        <w:t xml:space="preserve">  本交易规则由福建省福州粮食批发交易市场负责解释。 </w:t>
      </w:r>
      <w:r>
        <w:rPr>
          <w:rFonts w:hint="eastAsia" w:ascii="仿宋" w:hAnsi="仿宋" w:eastAsia="仿宋"/>
          <w:spacing w:val="-24"/>
          <w:sz w:val="28"/>
          <w:szCs w:val="28"/>
        </w:rPr>
        <w:br w:type="textWrapping"/>
      </w:r>
      <w:r>
        <w:rPr>
          <w:rFonts w:hint="eastAsia" w:ascii="仿宋" w:eastAsia="仿宋"/>
          <w:spacing w:val="-24"/>
          <w:sz w:val="28"/>
          <w:szCs w:val="28"/>
        </w:rPr>
        <w:t xml:space="preserve">        </w:t>
      </w:r>
      <w:r>
        <w:rPr>
          <w:rFonts w:hint="eastAsia" w:ascii="仿宋" w:hAnsi="仿宋" w:eastAsia="仿宋"/>
          <w:b/>
          <w:spacing w:val="-30"/>
          <w:sz w:val="28"/>
          <w:szCs w:val="28"/>
        </w:rPr>
        <w:t xml:space="preserve">第二十二条 </w:t>
      </w:r>
      <w:r>
        <w:rPr>
          <w:rFonts w:hint="eastAsia" w:ascii="仿宋" w:hAnsi="仿宋" w:eastAsia="仿宋"/>
          <w:spacing w:val="-24"/>
          <w:sz w:val="28"/>
          <w:szCs w:val="28"/>
        </w:rPr>
        <w:t xml:space="preserve">   若有变更在《榕粮网》http://www.fzgrain.com上公布。</w:t>
      </w:r>
    </w:p>
    <w:p>
      <w:pPr>
        <w:widowControl w:val="0"/>
        <w:snapToGrid w:val="0"/>
        <w:spacing w:line="460" w:lineRule="exact"/>
        <w:ind w:firstLine="556" w:firstLineChars="240"/>
        <w:jc w:val="distribute"/>
        <w:rPr>
          <w:rFonts w:ascii="仿宋" w:hAnsi="仿宋" w:eastAsia="仿宋"/>
          <w:spacing w:val="-24"/>
          <w:sz w:val="28"/>
          <w:szCs w:val="28"/>
        </w:rPr>
      </w:pPr>
    </w:p>
    <w:p>
      <w:pPr>
        <w:widowControl w:val="0"/>
        <w:snapToGrid w:val="0"/>
        <w:spacing w:line="460" w:lineRule="exact"/>
        <w:ind w:firstLine="672" w:firstLineChars="240"/>
        <w:jc w:val="right"/>
        <w:rPr>
          <w:rFonts w:ascii="仿宋" w:hAnsi="仿宋" w:eastAsia="仿宋"/>
          <w:sz w:val="28"/>
          <w:szCs w:val="28"/>
        </w:rPr>
      </w:pPr>
    </w:p>
    <w:p>
      <w:pPr>
        <w:widowControl w:val="0"/>
        <w:snapToGrid w:val="0"/>
        <w:spacing w:line="420" w:lineRule="exact"/>
        <w:jc w:val="right"/>
        <w:rPr>
          <w:rFonts w:ascii="仿宋" w:hAnsi="仿宋" w:eastAsia="仿宋"/>
          <w:spacing w:val="56"/>
          <w:sz w:val="28"/>
          <w:szCs w:val="28"/>
        </w:rPr>
      </w:pPr>
      <w:r>
        <w:rPr>
          <w:rFonts w:hint="eastAsia" w:ascii="仿宋" w:hAnsi="仿宋" w:eastAsia="仿宋"/>
          <w:spacing w:val="56"/>
          <w:sz w:val="28"/>
          <w:szCs w:val="28"/>
        </w:rPr>
        <w:t xml:space="preserve"> 福州国家粮食交易中心</w:t>
      </w:r>
    </w:p>
    <w:p>
      <w:pPr>
        <w:widowControl w:val="0"/>
        <w:snapToGrid w:val="0"/>
        <w:spacing w:line="420" w:lineRule="exact"/>
        <w:jc w:val="right"/>
        <w:rPr>
          <w:rFonts w:ascii="仿宋" w:hAnsi="仿宋" w:eastAsia="仿宋"/>
          <w:sz w:val="28"/>
          <w:szCs w:val="28"/>
        </w:rPr>
      </w:pPr>
      <w:r>
        <w:rPr>
          <w:rFonts w:ascii="仿宋" w:hAnsi="仿宋" w:eastAsia="仿宋"/>
          <w:sz w:val="28"/>
          <w:szCs w:val="28"/>
        </w:rPr>
        <w:t>福州杜坞粮食交易市场有限公司</w:t>
      </w:r>
    </w:p>
    <w:p>
      <w:pPr>
        <w:widowControl w:val="0"/>
        <w:snapToGrid w:val="0"/>
        <w:spacing w:line="420" w:lineRule="exact"/>
        <w:jc w:val="right"/>
        <w:rPr>
          <w:rFonts w:ascii="仿宋" w:hAnsi="仿宋" w:eastAsia="仿宋"/>
          <w:spacing w:val="36"/>
          <w:sz w:val="28"/>
          <w:szCs w:val="28"/>
        </w:rPr>
      </w:pPr>
      <w:r>
        <w:rPr>
          <w:rFonts w:hint="eastAsia" w:ascii="仿宋" w:hAnsi="仿宋" w:eastAsia="仿宋"/>
          <w:spacing w:val="36"/>
          <w:sz w:val="28"/>
          <w:szCs w:val="28"/>
        </w:rPr>
        <w:t>莆田市粮食集团有限公司</w:t>
      </w:r>
    </w:p>
    <w:p>
      <w:pPr>
        <w:widowControl w:val="0"/>
        <w:snapToGrid w:val="0"/>
        <w:spacing w:line="420" w:lineRule="exact"/>
        <w:jc w:val="right"/>
        <w:rPr>
          <w:rFonts w:ascii="仿宋" w:hAnsi="仿宋" w:eastAsia="仿宋"/>
          <w:sz w:val="28"/>
          <w:szCs w:val="28"/>
        </w:rPr>
      </w:pPr>
      <w:r>
        <w:rPr>
          <w:rFonts w:ascii="仿宋" w:hAnsi="仿宋" w:eastAsia="仿宋"/>
          <w:sz w:val="28"/>
          <w:szCs w:val="28"/>
        </w:rPr>
        <w:t xml:space="preserve">   2017年</w:t>
      </w:r>
      <w:r>
        <w:rPr>
          <w:rFonts w:hint="eastAsia" w:ascii="仿宋" w:hAnsi="仿宋" w:eastAsia="仿宋"/>
          <w:sz w:val="28"/>
          <w:szCs w:val="28"/>
        </w:rPr>
        <w:t>9月12日</w:t>
      </w:r>
    </w:p>
    <w:p>
      <w:pPr>
        <w:widowControl w:val="0"/>
        <w:snapToGrid w:val="0"/>
        <w:spacing w:line="500" w:lineRule="exact"/>
        <w:rPr>
          <w:rFonts w:ascii="仿宋_GB2312" w:eastAsia="仿宋_GB2312"/>
          <w:b/>
          <w:sz w:val="31"/>
        </w:rPr>
      </w:pPr>
    </w:p>
    <w:p>
      <w:pPr>
        <w:widowControl w:val="0"/>
        <w:snapToGrid w:val="0"/>
        <w:spacing w:line="500" w:lineRule="exact"/>
        <w:jc w:val="center"/>
        <w:rPr>
          <w:rFonts w:ascii="宋体" w:hAnsi="宋体"/>
          <w:b/>
          <w:sz w:val="44"/>
          <w:szCs w:val="44"/>
        </w:rPr>
      </w:pPr>
    </w:p>
    <w:p>
      <w:pPr>
        <w:widowControl w:val="0"/>
        <w:snapToGrid w:val="0"/>
        <w:spacing w:line="500" w:lineRule="exact"/>
        <w:jc w:val="center"/>
        <w:rPr>
          <w:rFonts w:ascii="宋体" w:hAnsi="宋体"/>
          <w:b/>
          <w:sz w:val="44"/>
          <w:szCs w:val="44"/>
        </w:rPr>
      </w:pPr>
    </w:p>
    <w:p>
      <w:pPr>
        <w:widowControl w:val="0"/>
        <w:snapToGrid w:val="0"/>
        <w:spacing w:line="500" w:lineRule="exact"/>
        <w:jc w:val="center"/>
        <w:rPr>
          <w:rFonts w:ascii="宋体" w:hAnsi="宋体"/>
          <w:b/>
          <w:color w:val="auto"/>
          <w:sz w:val="44"/>
          <w:szCs w:val="44"/>
        </w:rPr>
      </w:pPr>
      <w:r>
        <w:rPr>
          <w:rFonts w:hint="eastAsia" w:ascii="宋体" w:hAnsi="宋体"/>
          <w:b/>
          <w:sz w:val="44"/>
          <w:szCs w:val="44"/>
        </w:rPr>
        <w:t xml:space="preserve">远 程 </w:t>
      </w:r>
      <w:r>
        <w:rPr>
          <w:rFonts w:ascii="宋体" w:hAnsi="宋体"/>
          <w:b/>
          <w:color w:val="auto"/>
          <w:sz w:val="44"/>
          <w:szCs w:val="44"/>
        </w:rPr>
        <w:t>竞 标 保 证 书</w:t>
      </w:r>
    </w:p>
    <w:p>
      <w:pPr>
        <w:widowControl w:val="0"/>
        <w:snapToGrid w:val="0"/>
        <w:spacing w:line="500" w:lineRule="exact"/>
        <w:jc w:val="center"/>
        <w:rPr>
          <w:color w:val="auto"/>
        </w:rPr>
      </w:pPr>
    </w:p>
    <w:p>
      <w:pPr>
        <w:widowControl w:val="0"/>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本人已知悉2017年9月19日《莆田市专项储备粮轮换竞价</w:t>
      </w:r>
      <w:r>
        <w:rPr>
          <w:rFonts w:hint="eastAsia" w:ascii="仿宋" w:hAnsi="仿宋" w:eastAsia="仿宋"/>
          <w:color w:val="auto"/>
          <w:sz w:val="28"/>
          <w:szCs w:val="28"/>
        </w:rPr>
        <w:t>采购</w:t>
      </w:r>
      <w:r>
        <w:rPr>
          <w:rFonts w:hint="eastAsia" w:ascii="仿宋" w:hAnsi="仿宋" w:eastAsia="仿宋"/>
          <w:sz w:val="28"/>
          <w:szCs w:val="28"/>
        </w:rPr>
        <w:t>交易会（2017年第二场）》载明的各项条款，并愿意遵守各项条款要求，同时本人已了解和认可竞价标的的状况，并熟知福州市粮食批发交易市场网上竞价交易操作流程，愿意通过互联网远程竞价的方式，以注册登记的固定席位号:参与竞价。如本人违反《交易规则》的各项规定，愿承担违约和相关法律责任。</w:t>
      </w:r>
      <w:r>
        <w:rPr>
          <w:rFonts w:hint="eastAsia" w:eastAsia="仿宋"/>
          <w:sz w:val="28"/>
          <w:szCs w:val="28"/>
        </w:rPr>
        <w:t>      </w:t>
      </w:r>
    </w:p>
    <w:p>
      <w:pPr>
        <w:widowControl w:val="0"/>
        <w:snapToGrid w:val="0"/>
        <w:spacing w:line="460" w:lineRule="exact"/>
        <w:ind w:right="561" w:firstLine="5584"/>
        <w:rPr>
          <w:rFonts w:ascii="仿宋" w:hAnsi="仿宋" w:eastAsia="仿宋"/>
          <w:sz w:val="28"/>
          <w:szCs w:val="28"/>
        </w:rPr>
      </w:pPr>
    </w:p>
    <w:p>
      <w:pPr>
        <w:widowControl w:val="0"/>
        <w:snapToGrid w:val="0"/>
        <w:spacing w:line="460" w:lineRule="exact"/>
        <w:ind w:right="561"/>
        <w:rPr>
          <w:rFonts w:ascii="仿宋" w:hAnsi="仿宋" w:eastAsia="仿宋"/>
          <w:sz w:val="28"/>
          <w:szCs w:val="28"/>
        </w:rPr>
      </w:pPr>
    </w:p>
    <w:p>
      <w:pPr>
        <w:widowControl w:val="0"/>
        <w:snapToGrid w:val="0"/>
        <w:spacing w:line="460" w:lineRule="exact"/>
        <w:ind w:right="561"/>
        <w:rPr>
          <w:rFonts w:ascii="仿宋" w:hAnsi="仿宋" w:eastAsia="仿宋"/>
          <w:sz w:val="28"/>
          <w:szCs w:val="28"/>
        </w:rPr>
      </w:pPr>
    </w:p>
    <w:p>
      <w:pPr>
        <w:widowControl w:val="0"/>
        <w:snapToGrid w:val="0"/>
        <w:spacing w:line="460" w:lineRule="exact"/>
        <w:ind w:right="561"/>
        <w:rPr>
          <w:rFonts w:ascii="仿宋" w:hAnsi="仿宋" w:eastAsia="仿宋"/>
          <w:sz w:val="28"/>
          <w:szCs w:val="28"/>
        </w:rPr>
      </w:pPr>
      <w:r>
        <w:rPr>
          <w:rFonts w:hint="eastAsia" w:ascii="仿宋" w:hAnsi="仿宋" w:eastAsia="仿宋"/>
          <w:sz w:val="28"/>
          <w:szCs w:val="28"/>
        </w:rPr>
        <w:t xml:space="preserve">                                      竞标人（签章）：</w:t>
      </w:r>
    </w:p>
    <w:p>
      <w:pPr>
        <w:widowControl w:val="0"/>
        <w:snapToGrid w:val="0"/>
        <w:spacing w:line="460" w:lineRule="exact"/>
        <w:ind w:right="561"/>
        <w:rPr>
          <w:rFonts w:ascii="宋体" w:hAnsi="宋体"/>
          <w:b/>
          <w:spacing w:val="-40"/>
          <w:sz w:val="44"/>
          <w:szCs w:val="44"/>
        </w:rPr>
      </w:pPr>
      <w:r>
        <w:rPr>
          <w:rFonts w:hint="eastAsia" w:ascii="仿宋" w:hAnsi="仿宋" w:eastAsia="仿宋"/>
          <w:sz w:val="28"/>
          <w:szCs w:val="28"/>
        </w:rPr>
        <w:t xml:space="preserve">                                      2017年  月   日</w:t>
      </w:r>
    </w:p>
    <w:p>
      <w:pPr>
        <w:widowControl w:val="0"/>
        <w:snapToGrid w:val="0"/>
        <w:spacing w:line="500" w:lineRule="exact"/>
        <w:jc w:val="center"/>
        <w:rPr>
          <w:rFonts w:ascii="宋体" w:hAnsi="宋体"/>
          <w:b/>
          <w:spacing w:val="-40"/>
          <w:sz w:val="44"/>
          <w:szCs w:val="44"/>
        </w:rPr>
      </w:pPr>
    </w:p>
    <w:p>
      <w:pPr>
        <w:widowControl w:val="0"/>
        <w:snapToGrid w:val="0"/>
        <w:spacing w:line="500" w:lineRule="exact"/>
        <w:jc w:val="center"/>
        <w:rPr>
          <w:rFonts w:ascii="宋体" w:hAnsi="宋体"/>
          <w:b/>
          <w:spacing w:val="-40"/>
          <w:sz w:val="44"/>
          <w:szCs w:val="44"/>
        </w:rPr>
      </w:pPr>
    </w:p>
    <w:p>
      <w:pPr>
        <w:widowControl w:val="0"/>
        <w:snapToGrid w:val="0"/>
        <w:spacing w:line="500" w:lineRule="exact"/>
        <w:jc w:val="center"/>
        <w:rPr>
          <w:rFonts w:ascii="宋体" w:hAnsi="宋体"/>
          <w:b/>
          <w:spacing w:val="-40"/>
          <w:sz w:val="44"/>
          <w:szCs w:val="44"/>
        </w:rPr>
      </w:pPr>
      <w:r>
        <w:rPr>
          <w:rFonts w:hint="eastAsia" w:ascii="宋体" w:hAnsi="宋体"/>
          <w:b/>
          <w:spacing w:val="-40"/>
          <w:sz w:val="44"/>
          <w:szCs w:val="44"/>
        </w:rPr>
        <w:t>莆田市专项储备粮轮换竞价采购交易会</w:t>
      </w:r>
    </w:p>
    <w:p>
      <w:pPr>
        <w:widowControl w:val="0"/>
        <w:snapToGrid w:val="0"/>
        <w:spacing w:line="500" w:lineRule="exact"/>
        <w:jc w:val="center"/>
        <w:rPr>
          <w:rFonts w:ascii="宋体" w:hAnsi="宋体"/>
          <w:b/>
          <w:spacing w:val="-40"/>
          <w:sz w:val="44"/>
          <w:szCs w:val="44"/>
        </w:rPr>
      </w:pPr>
      <w:r>
        <w:rPr>
          <w:rFonts w:hint="eastAsia" w:ascii="宋体" w:hAnsi="宋体"/>
          <w:b/>
          <w:spacing w:val="-40"/>
          <w:sz w:val="44"/>
          <w:szCs w:val="44"/>
        </w:rPr>
        <w:t>（2017年第二场）</w:t>
      </w:r>
    </w:p>
    <w:p>
      <w:pPr>
        <w:widowControl w:val="0"/>
        <w:snapToGrid w:val="0"/>
        <w:spacing w:line="500" w:lineRule="exact"/>
        <w:jc w:val="center"/>
        <w:rPr>
          <w:rFonts w:ascii="宋体" w:hAnsi="宋体"/>
          <w:b/>
          <w:spacing w:val="-40"/>
          <w:sz w:val="44"/>
          <w:szCs w:val="44"/>
        </w:rPr>
      </w:pPr>
      <w:r>
        <w:rPr>
          <w:rFonts w:hint="eastAsia" w:ascii="宋体" w:hAnsi="宋体"/>
          <w:b/>
          <w:spacing w:val="-40"/>
          <w:sz w:val="44"/>
          <w:szCs w:val="44"/>
        </w:rPr>
        <w:t>采购</w:t>
      </w:r>
      <w:r>
        <w:rPr>
          <w:rFonts w:ascii="宋体" w:hAnsi="宋体"/>
          <w:b/>
          <w:spacing w:val="-40"/>
          <w:sz w:val="44"/>
          <w:szCs w:val="44"/>
        </w:rPr>
        <w:t>标的目录</w:t>
      </w:r>
    </w:p>
    <w:tbl>
      <w:tblPr>
        <w:tblStyle w:val="10"/>
        <w:tblpPr w:leftFromText="180" w:rightFromText="180" w:vertAnchor="text" w:horzAnchor="margin" w:tblpXSpec="center" w:tblpY="618"/>
        <w:tblOverlap w:val="never"/>
        <w:tblW w:w="10778" w:type="dxa"/>
        <w:tblInd w:w="0" w:type="dxa"/>
        <w:tblLayout w:type="fixed"/>
        <w:tblCellMar>
          <w:top w:w="0" w:type="dxa"/>
          <w:left w:w="0" w:type="dxa"/>
          <w:bottom w:w="0" w:type="dxa"/>
          <w:right w:w="0" w:type="dxa"/>
        </w:tblCellMar>
      </w:tblPr>
      <w:tblGrid>
        <w:gridCol w:w="468"/>
        <w:gridCol w:w="1252"/>
        <w:gridCol w:w="979"/>
        <w:gridCol w:w="708"/>
        <w:gridCol w:w="968"/>
        <w:gridCol w:w="1300"/>
        <w:gridCol w:w="1310"/>
        <w:gridCol w:w="2376"/>
        <w:gridCol w:w="1417"/>
      </w:tblGrid>
      <w:tr>
        <w:tblPrEx>
          <w:tblLayout w:type="fixed"/>
          <w:tblCellMar>
            <w:top w:w="0" w:type="dxa"/>
            <w:left w:w="0" w:type="dxa"/>
            <w:bottom w:w="0" w:type="dxa"/>
            <w:right w:w="0" w:type="dxa"/>
          </w:tblCellMar>
        </w:tblPrEx>
        <w:trPr>
          <w:trHeight w:val="987" w:hRule="exact"/>
        </w:trPr>
        <w:tc>
          <w:tcPr>
            <w:tcW w:w="4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bCs/>
                <w:szCs w:val="21"/>
              </w:rPr>
            </w:pPr>
            <w:r>
              <w:rPr>
                <w:rFonts w:hint="eastAsia" w:ascii="宋体" w:hAnsi="宋体"/>
                <w:b/>
                <w:bCs/>
                <w:szCs w:val="21"/>
              </w:rPr>
              <w:t>序号</w:t>
            </w:r>
          </w:p>
        </w:tc>
        <w:tc>
          <w:tcPr>
            <w:tcW w:w="12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bCs/>
                <w:szCs w:val="21"/>
              </w:rPr>
            </w:pPr>
            <w:r>
              <w:rPr>
                <w:rFonts w:hint="eastAsia" w:ascii="宋体" w:hAnsi="宋体"/>
                <w:b/>
                <w:bCs/>
                <w:szCs w:val="21"/>
              </w:rPr>
              <w:t>品  名</w:t>
            </w:r>
          </w:p>
        </w:tc>
        <w:tc>
          <w:tcPr>
            <w:tcW w:w="9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bCs/>
                <w:szCs w:val="21"/>
              </w:rPr>
            </w:pPr>
            <w:r>
              <w:rPr>
                <w:rFonts w:hint="eastAsia" w:ascii="宋体" w:hAnsi="宋体"/>
                <w:b/>
                <w:bCs/>
                <w:szCs w:val="21"/>
              </w:rPr>
              <w:t>数量</w:t>
            </w:r>
          </w:p>
          <w:p>
            <w:pPr>
              <w:spacing w:line="240" w:lineRule="exact"/>
              <w:jc w:val="center"/>
              <w:rPr>
                <w:rFonts w:ascii="宋体" w:hAnsi="宋体"/>
                <w:b/>
                <w:bCs/>
                <w:szCs w:val="21"/>
              </w:rPr>
            </w:pPr>
            <w:r>
              <w:rPr>
                <w:rFonts w:hint="eastAsia" w:ascii="宋体" w:hAnsi="宋体"/>
                <w:b/>
                <w:bCs/>
                <w:szCs w:val="21"/>
              </w:rPr>
              <w:t>（吨）</w:t>
            </w: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bCs/>
                <w:szCs w:val="21"/>
              </w:rPr>
            </w:pPr>
            <w:r>
              <w:rPr>
                <w:rFonts w:hint="eastAsia" w:ascii="宋体" w:hAnsi="宋体"/>
                <w:b/>
                <w:bCs/>
                <w:szCs w:val="21"/>
              </w:rPr>
              <w:t>储存</w:t>
            </w:r>
          </w:p>
          <w:p>
            <w:pPr>
              <w:spacing w:line="240" w:lineRule="exact"/>
              <w:jc w:val="center"/>
              <w:rPr>
                <w:rFonts w:ascii="宋体" w:hAnsi="宋体"/>
                <w:b/>
                <w:bCs/>
                <w:szCs w:val="21"/>
              </w:rPr>
            </w:pPr>
            <w:r>
              <w:rPr>
                <w:rFonts w:hint="eastAsia" w:ascii="宋体" w:hAnsi="宋体"/>
                <w:b/>
                <w:bCs/>
                <w:szCs w:val="21"/>
              </w:rPr>
              <w:t>方式</w:t>
            </w:r>
          </w:p>
        </w:tc>
        <w:tc>
          <w:tcPr>
            <w:tcW w:w="9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bCs/>
                <w:szCs w:val="21"/>
              </w:rPr>
            </w:pPr>
            <w:r>
              <w:rPr>
                <w:rFonts w:hint="eastAsia" w:ascii="宋体" w:hAnsi="宋体"/>
                <w:b/>
                <w:bCs/>
                <w:szCs w:val="21"/>
              </w:rPr>
              <w:t>储粮单位</w:t>
            </w:r>
          </w:p>
        </w:tc>
        <w:tc>
          <w:tcPr>
            <w:tcW w:w="130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b/>
                <w:bCs/>
                <w:szCs w:val="21"/>
              </w:rPr>
            </w:pPr>
            <w:r>
              <w:rPr>
                <w:rFonts w:hint="eastAsia" w:ascii="宋体" w:hAnsi="宋体"/>
                <w:b/>
                <w:bCs/>
                <w:szCs w:val="21"/>
              </w:rPr>
              <w:t>存放仓库</w:t>
            </w:r>
          </w:p>
        </w:tc>
        <w:tc>
          <w:tcPr>
            <w:tcW w:w="131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b/>
                <w:bCs/>
                <w:szCs w:val="21"/>
              </w:rPr>
            </w:pPr>
            <w:r>
              <w:rPr>
                <w:rFonts w:hint="eastAsia" w:ascii="宋体" w:hAnsi="宋体"/>
                <w:b/>
                <w:bCs/>
                <w:szCs w:val="21"/>
              </w:rPr>
              <w:t>交货时限</w:t>
            </w:r>
          </w:p>
        </w:tc>
        <w:tc>
          <w:tcPr>
            <w:tcW w:w="23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bCs/>
                <w:szCs w:val="21"/>
              </w:rPr>
            </w:pPr>
            <w:r>
              <w:rPr>
                <w:rFonts w:hint="eastAsia" w:ascii="宋体" w:hAnsi="宋体"/>
                <w:b/>
                <w:bCs/>
                <w:szCs w:val="21"/>
              </w:rPr>
              <w:t>特别约定</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bCs/>
                <w:szCs w:val="21"/>
              </w:rPr>
            </w:pPr>
            <w:r>
              <w:rPr>
                <w:rFonts w:hint="eastAsia" w:ascii="宋体" w:hAnsi="宋体"/>
                <w:b/>
                <w:bCs/>
                <w:szCs w:val="21"/>
              </w:rPr>
              <w:t>联系方式</w:t>
            </w:r>
          </w:p>
        </w:tc>
      </w:tr>
      <w:tr>
        <w:tblPrEx>
          <w:tblLayout w:type="fixed"/>
          <w:tblCellMar>
            <w:top w:w="0" w:type="dxa"/>
            <w:left w:w="0" w:type="dxa"/>
            <w:bottom w:w="0" w:type="dxa"/>
            <w:right w:w="0" w:type="dxa"/>
          </w:tblCellMar>
        </w:tblPrEx>
        <w:trPr>
          <w:trHeight w:val="2671" w:hRule="exact"/>
        </w:trPr>
        <w:tc>
          <w:tcPr>
            <w:tcW w:w="468"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r>
              <w:rPr>
                <w:rFonts w:hint="eastAsia" w:ascii="宋体" w:hAnsi="宋体"/>
                <w:szCs w:val="21"/>
              </w:rPr>
              <w:t>1</w:t>
            </w:r>
          </w:p>
        </w:tc>
        <w:tc>
          <w:tcPr>
            <w:tcW w:w="1252"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r>
              <w:rPr>
                <w:rFonts w:hint="eastAsia" w:ascii="宋体" w:hAnsi="宋体"/>
                <w:szCs w:val="21"/>
              </w:rPr>
              <w:t>2017年度生产的早籼稻</w:t>
            </w:r>
          </w:p>
        </w:tc>
        <w:tc>
          <w:tcPr>
            <w:tcW w:w="97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3948.852</w:t>
            </w: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散装</w:t>
            </w:r>
          </w:p>
        </w:tc>
        <w:tc>
          <w:tcPr>
            <w:tcW w:w="96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r>
              <w:rPr>
                <w:rFonts w:hint="eastAsia" w:ascii="宋体" w:hAnsi="宋体"/>
                <w:szCs w:val="21"/>
              </w:rPr>
              <w:t>莆田市粮食集团有限公司</w:t>
            </w:r>
          </w:p>
        </w:tc>
        <w:tc>
          <w:tcPr>
            <w:tcW w:w="130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r>
              <w:rPr>
                <w:rFonts w:hint="eastAsia" w:ascii="宋体" w:hAnsi="宋体"/>
                <w:szCs w:val="21"/>
              </w:rPr>
              <w:t>直属储备库秀屿点0P1</w:t>
            </w:r>
          </w:p>
        </w:tc>
        <w:tc>
          <w:tcPr>
            <w:tcW w:w="1310"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r>
              <w:rPr>
                <w:rFonts w:hint="eastAsia" w:ascii="宋体" w:hAnsi="宋体"/>
                <w:szCs w:val="21"/>
              </w:rPr>
              <w:t>自成交之日起40天内全部交货完毕</w:t>
            </w:r>
          </w:p>
          <w:p>
            <w:pPr>
              <w:spacing w:line="240" w:lineRule="exact"/>
              <w:ind w:firstLine="105" w:firstLineChars="50"/>
              <w:jc w:val="center"/>
              <w:rPr>
                <w:rFonts w:ascii="仿宋_GB2312" w:hAnsi="仿宋" w:eastAsia="仿宋_GB2312"/>
                <w:b/>
                <w:bCs/>
                <w:szCs w:val="21"/>
              </w:rPr>
            </w:pPr>
          </w:p>
        </w:tc>
        <w:tc>
          <w:tcPr>
            <w:tcW w:w="237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r>
              <w:rPr>
                <w:rFonts w:hint="eastAsia" w:ascii="宋体" w:hAnsi="宋体"/>
                <w:szCs w:val="21"/>
              </w:rPr>
              <w:t>1.4个门位围垛及粮面踏粮包约需麻袋2500条,必须用国标麻袋做为包装，以上所需所有麻袋不作价，不计重，由供方无偿提供。</w:t>
            </w:r>
          </w:p>
          <w:p>
            <w:pPr>
              <w:spacing w:line="240" w:lineRule="exact"/>
              <w:ind w:firstLine="105" w:firstLineChars="50"/>
              <w:jc w:val="center"/>
              <w:rPr>
                <w:rFonts w:ascii="宋体" w:hAnsi="宋体"/>
                <w:szCs w:val="21"/>
              </w:rPr>
            </w:pPr>
            <w:r>
              <w:rPr>
                <w:rFonts w:hint="eastAsia" w:ascii="宋体" w:hAnsi="宋体"/>
                <w:szCs w:val="21"/>
              </w:rPr>
              <w:t>搬运费及进仓堆垛完毕前一切费用由供方负担。</w:t>
            </w:r>
          </w:p>
          <w:p>
            <w:pPr>
              <w:spacing w:line="240" w:lineRule="exact"/>
              <w:ind w:firstLine="105" w:firstLineChars="50"/>
              <w:jc w:val="center"/>
              <w:rPr>
                <w:rFonts w:ascii="仿宋_GB2312" w:hAnsi="仿宋" w:eastAsia="仿宋_GB2312"/>
                <w:b/>
                <w:bCs/>
                <w:szCs w:val="21"/>
              </w:rPr>
            </w:pPr>
            <w:r>
              <w:rPr>
                <w:rFonts w:hint="eastAsia" w:ascii="宋体" w:hAnsi="宋体"/>
                <w:szCs w:val="21"/>
              </w:rPr>
              <w:t>3.若供方需使用需方设备，设备使用费为4元/吨（含电费）。</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r>
              <w:rPr>
                <w:rFonts w:hint="eastAsia" w:ascii="宋体" w:hAnsi="宋体"/>
                <w:szCs w:val="21"/>
              </w:rPr>
              <w:t>联系人：</w:t>
            </w:r>
          </w:p>
          <w:p>
            <w:pPr>
              <w:spacing w:line="240" w:lineRule="exact"/>
              <w:ind w:firstLine="105" w:firstLineChars="50"/>
              <w:jc w:val="center"/>
              <w:rPr>
                <w:rFonts w:ascii="宋体" w:hAnsi="宋体"/>
                <w:szCs w:val="21"/>
              </w:rPr>
            </w:pPr>
            <w:r>
              <w:rPr>
                <w:rFonts w:hint="eastAsia" w:ascii="宋体" w:hAnsi="宋体"/>
                <w:szCs w:val="21"/>
              </w:rPr>
              <w:t>沈先生：13615995659</w:t>
            </w:r>
          </w:p>
          <w:p>
            <w:pPr>
              <w:spacing w:line="240" w:lineRule="exact"/>
              <w:ind w:firstLine="105" w:firstLineChars="50"/>
              <w:jc w:val="center"/>
              <w:rPr>
                <w:rFonts w:ascii="仿宋" w:hAnsi="仿宋" w:eastAsia="仿宋"/>
                <w:szCs w:val="21"/>
                <w:shd w:val="clear" w:color="FFFFFF" w:fill="D9D9D9"/>
              </w:rPr>
            </w:pPr>
            <w:r>
              <w:rPr>
                <w:rFonts w:hint="eastAsia" w:ascii="宋体" w:hAnsi="宋体"/>
                <w:szCs w:val="21"/>
              </w:rPr>
              <w:t>蔡先生：15960517292</w:t>
            </w:r>
          </w:p>
        </w:tc>
      </w:tr>
      <w:tr>
        <w:tblPrEx>
          <w:tblLayout w:type="fixed"/>
          <w:tblCellMar>
            <w:top w:w="0" w:type="dxa"/>
            <w:left w:w="0" w:type="dxa"/>
            <w:bottom w:w="0" w:type="dxa"/>
            <w:right w:w="0" w:type="dxa"/>
          </w:tblCellMar>
        </w:tblPrEx>
        <w:trPr>
          <w:trHeight w:val="1356" w:hRule="exact"/>
        </w:trPr>
        <w:tc>
          <w:tcPr>
            <w:tcW w:w="468"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r>
              <w:rPr>
                <w:rFonts w:hint="eastAsia" w:ascii="宋体" w:hAnsi="宋体"/>
                <w:szCs w:val="21"/>
              </w:rPr>
              <w:t>2</w:t>
            </w:r>
          </w:p>
        </w:tc>
        <w:tc>
          <w:tcPr>
            <w:tcW w:w="1252"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r>
              <w:rPr>
                <w:rFonts w:hint="eastAsia" w:ascii="宋体" w:hAnsi="宋体"/>
                <w:szCs w:val="21"/>
              </w:rPr>
              <w:t>2017年度生产的早籼稻</w:t>
            </w:r>
          </w:p>
        </w:tc>
        <w:tc>
          <w:tcPr>
            <w:tcW w:w="97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2556.148</w:t>
            </w: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散装</w:t>
            </w:r>
          </w:p>
        </w:tc>
        <w:tc>
          <w:tcPr>
            <w:tcW w:w="9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r>
              <w:rPr>
                <w:rFonts w:hint="eastAsia" w:ascii="宋体" w:hAnsi="宋体"/>
                <w:szCs w:val="21"/>
              </w:rPr>
              <w:t>直属储备库笏石点1P9</w:t>
            </w:r>
          </w:p>
        </w:tc>
        <w:tc>
          <w:tcPr>
            <w:tcW w:w="131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仿宋_GB2312" w:hAnsi="仿宋" w:eastAsia="仿宋_GB2312"/>
                <w:b/>
                <w:bCs/>
                <w:szCs w:val="21"/>
              </w:rPr>
            </w:pPr>
          </w:p>
        </w:tc>
        <w:tc>
          <w:tcPr>
            <w:tcW w:w="2376" w:type="dxa"/>
            <w:vMerge w:val="restart"/>
            <w:tcBorders>
              <w:top w:val="single" w:color="auto" w:sz="4" w:space="0"/>
              <w:left w:val="single" w:color="auto" w:sz="4" w:space="0"/>
              <w:right w:val="single" w:color="auto" w:sz="4" w:space="0"/>
            </w:tcBorders>
            <w:vAlign w:val="center"/>
          </w:tcPr>
          <w:p>
            <w:pPr>
              <w:spacing w:line="240" w:lineRule="exact"/>
              <w:ind w:firstLine="105" w:firstLineChars="50"/>
              <w:jc w:val="center"/>
              <w:rPr>
                <w:rFonts w:ascii="宋体" w:hAnsi="宋体"/>
                <w:szCs w:val="21"/>
              </w:rPr>
            </w:pPr>
            <w:r>
              <w:rPr>
                <w:rFonts w:hint="eastAsia" w:ascii="宋体" w:hAnsi="宋体"/>
                <w:szCs w:val="21"/>
              </w:rPr>
              <w:t>1.粮面踏粮包约需麻袋250条,必须用国标麻袋做为包装，以上所需所有麻袋不作价，不计重，由供方无偿提供。</w:t>
            </w:r>
          </w:p>
          <w:p>
            <w:pPr>
              <w:spacing w:line="240" w:lineRule="exact"/>
              <w:ind w:firstLine="105" w:firstLineChars="50"/>
              <w:jc w:val="center"/>
              <w:rPr>
                <w:rFonts w:ascii="宋体" w:hAnsi="宋体"/>
                <w:szCs w:val="21"/>
              </w:rPr>
            </w:pPr>
            <w:r>
              <w:rPr>
                <w:rFonts w:hint="eastAsia" w:ascii="宋体" w:hAnsi="宋体"/>
                <w:szCs w:val="21"/>
              </w:rPr>
              <w:t>2.搬运费及进仓堆垛完毕前一切费用由供方负担。</w:t>
            </w:r>
          </w:p>
          <w:p>
            <w:pPr>
              <w:spacing w:line="240" w:lineRule="exact"/>
              <w:ind w:firstLine="105" w:firstLineChars="50"/>
              <w:jc w:val="center"/>
              <w:rPr>
                <w:rFonts w:ascii="仿宋_GB2312" w:hAnsi="仿宋" w:eastAsia="仿宋_GB2312"/>
                <w:b/>
                <w:bCs/>
                <w:szCs w:val="21"/>
              </w:rPr>
            </w:pPr>
            <w:r>
              <w:rPr>
                <w:rFonts w:hint="eastAsia" w:ascii="宋体" w:hAnsi="宋体"/>
                <w:szCs w:val="21"/>
              </w:rPr>
              <w:t>3.若供方需使用需方设备，设备使用费为4元/吨（含电费）。</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Cs w:val="21"/>
                <w:shd w:val="clear" w:color="FFFFFF" w:fill="D9D9D9"/>
              </w:rPr>
            </w:pPr>
          </w:p>
        </w:tc>
      </w:tr>
      <w:tr>
        <w:tblPrEx>
          <w:tblLayout w:type="fixed"/>
          <w:tblCellMar>
            <w:top w:w="0" w:type="dxa"/>
            <w:left w:w="0" w:type="dxa"/>
            <w:bottom w:w="0" w:type="dxa"/>
            <w:right w:w="0" w:type="dxa"/>
          </w:tblCellMar>
        </w:tblPrEx>
        <w:trPr>
          <w:trHeight w:val="1263" w:hRule="exact"/>
        </w:trPr>
        <w:tc>
          <w:tcPr>
            <w:tcW w:w="468"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r>
              <w:rPr>
                <w:rFonts w:hint="eastAsia" w:ascii="宋体" w:hAnsi="宋体"/>
                <w:szCs w:val="21"/>
              </w:rPr>
              <w:t>3</w:t>
            </w:r>
          </w:p>
        </w:tc>
        <w:tc>
          <w:tcPr>
            <w:tcW w:w="1252"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r>
              <w:rPr>
                <w:rFonts w:hint="eastAsia" w:ascii="宋体" w:hAnsi="宋体"/>
                <w:szCs w:val="21"/>
              </w:rPr>
              <w:t>2017年度生产的早籼稻</w:t>
            </w:r>
          </w:p>
        </w:tc>
        <w:tc>
          <w:tcPr>
            <w:tcW w:w="97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2834.000</w:t>
            </w: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散装</w:t>
            </w:r>
          </w:p>
        </w:tc>
        <w:tc>
          <w:tcPr>
            <w:tcW w:w="9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r>
              <w:rPr>
                <w:rFonts w:hint="eastAsia" w:ascii="宋体" w:hAnsi="宋体"/>
                <w:szCs w:val="21"/>
              </w:rPr>
              <w:t>直属储备库笏石点1P10</w:t>
            </w:r>
          </w:p>
        </w:tc>
        <w:tc>
          <w:tcPr>
            <w:tcW w:w="131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仿宋_GB2312" w:hAnsi="仿宋" w:eastAsia="仿宋_GB2312"/>
                <w:b/>
                <w:bCs/>
                <w:szCs w:val="21"/>
              </w:rPr>
            </w:pPr>
          </w:p>
        </w:tc>
        <w:tc>
          <w:tcPr>
            <w:tcW w:w="2376" w:type="dxa"/>
            <w:vMerge w:val="continue"/>
            <w:tcBorders>
              <w:left w:val="single" w:color="auto" w:sz="4" w:space="0"/>
              <w:bottom w:val="single" w:color="auto" w:sz="4" w:space="0"/>
              <w:right w:val="single" w:color="auto" w:sz="4" w:space="0"/>
            </w:tcBorders>
            <w:vAlign w:val="center"/>
          </w:tcPr>
          <w:p>
            <w:pPr>
              <w:spacing w:line="240" w:lineRule="exact"/>
              <w:ind w:firstLine="105" w:firstLineChars="50"/>
              <w:jc w:val="center"/>
              <w:rPr>
                <w:rFonts w:ascii="仿宋_GB2312" w:hAnsi="仿宋" w:eastAsia="仿宋_GB2312"/>
                <w:b/>
                <w:bCs/>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Cs w:val="21"/>
                <w:shd w:val="clear" w:color="FFFFFF" w:fill="D9D9D9"/>
              </w:rPr>
            </w:pPr>
          </w:p>
        </w:tc>
      </w:tr>
      <w:tr>
        <w:tblPrEx>
          <w:tblLayout w:type="fixed"/>
          <w:tblCellMar>
            <w:top w:w="0" w:type="dxa"/>
            <w:left w:w="0" w:type="dxa"/>
            <w:bottom w:w="0" w:type="dxa"/>
            <w:right w:w="0" w:type="dxa"/>
          </w:tblCellMar>
        </w:tblPrEx>
        <w:trPr>
          <w:trHeight w:val="572" w:hRule="exact"/>
        </w:trPr>
        <w:tc>
          <w:tcPr>
            <w:tcW w:w="468"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p>
        </w:tc>
        <w:tc>
          <w:tcPr>
            <w:tcW w:w="1252"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r>
              <w:rPr>
                <w:rFonts w:hint="eastAsia" w:ascii="宋体" w:hAnsi="宋体"/>
                <w:szCs w:val="21"/>
              </w:rPr>
              <w:t>合  计</w:t>
            </w:r>
          </w:p>
        </w:tc>
        <w:tc>
          <w:tcPr>
            <w:tcW w:w="979"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r>
              <w:rPr>
                <w:rFonts w:hint="eastAsia" w:ascii="宋体" w:hAnsi="宋体"/>
                <w:szCs w:val="21"/>
              </w:rPr>
              <w:t>9339.000</w:t>
            </w: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p>
        </w:tc>
        <w:tc>
          <w:tcPr>
            <w:tcW w:w="968"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p>
        </w:tc>
        <w:tc>
          <w:tcPr>
            <w:tcW w:w="131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仿宋_GB2312" w:hAnsi="仿宋" w:eastAsia="仿宋_GB2312"/>
                <w:b/>
                <w:bCs/>
                <w:szCs w:val="21"/>
              </w:rPr>
            </w:pPr>
          </w:p>
        </w:tc>
        <w:tc>
          <w:tcPr>
            <w:tcW w:w="237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仿宋_GB2312" w:hAnsi="仿宋" w:eastAsia="仿宋_GB2312"/>
                <w:b/>
                <w:bCs/>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Cs w:val="21"/>
                <w:shd w:val="clear" w:color="FFFFFF" w:fill="D9D9D9"/>
              </w:rPr>
            </w:pPr>
          </w:p>
        </w:tc>
      </w:tr>
      <w:tr>
        <w:tblPrEx>
          <w:tblLayout w:type="fixed"/>
          <w:tblCellMar>
            <w:top w:w="0" w:type="dxa"/>
            <w:left w:w="0" w:type="dxa"/>
            <w:bottom w:w="0" w:type="dxa"/>
            <w:right w:w="0" w:type="dxa"/>
          </w:tblCellMar>
        </w:tblPrEx>
        <w:trPr>
          <w:trHeight w:val="3418" w:hRule="exact"/>
        </w:trPr>
        <w:tc>
          <w:tcPr>
            <w:tcW w:w="468"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r>
              <w:rPr>
                <w:rFonts w:hint="eastAsia" w:ascii="宋体" w:hAnsi="宋体"/>
                <w:szCs w:val="21"/>
              </w:rPr>
              <w:t>4</w:t>
            </w:r>
          </w:p>
        </w:tc>
        <w:tc>
          <w:tcPr>
            <w:tcW w:w="1252"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r>
              <w:rPr>
                <w:rFonts w:hint="eastAsia" w:ascii="宋体" w:hAnsi="宋体"/>
                <w:szCs w:val="21"/>
              </w:rPr>
              <w:t>2017年度生产的早籼稻</w:t>
            </w:r>
          </w:p>
        </w:tc>
        <w:tc>
          <w:tcPr>
            <w:tcW w:w="9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2000</w:t>
            </w: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r>
              <w:rPr>
                <w:rFonts w:hint="eastAsia" w:ascii="宋体" w:hAnsi="宋体"/>
                <w:szCs w:val="21"/>
              </w:rPr>
              <w:t>散装</w:t>
            </w:r>
          </w:p>
        </w:tc>
        <w:tc>
          <w:tcPr>
            <w:tcW w:w="968"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r>
              <w:rPr>
                <w:rFonts w:hint="eastAsia" w:ascii="宋体" w:hAnsi="宋体"/>
                <w:szCs w:val="21"/>
              </w:rPr>
              <w:t>莆田市秀屿粮食购销有限公司</w:t>
            </w:r>
          </w:p>
        </w:tc>
        <w:tc>
          <w:tcPr>
            <w:tcW w:w="130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r>
              <w:rPr>
                <w:rFonts w:hint="eastAsia" w:ascii="宋体" w:hAnsi="宋体"/>
                <w:szCs w:val="21"/>
              </w:rPr>
              <w:t>秀屿库2P1、2P2仓</w:t>
            </w:r>
          </w:p>
        </w:tc>
        <w:tc>
          <w:tcPr>
            <w:tcW w:w="131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r>
              <w:rPr>
                <w:rFonts w:hint="eastAsia" w:ascii="宋体" w:hAnsi="宋体"/>
                <w:szCs w:val="21"/>
              </w:rPr>
              <w:t>自成交之日起40日内全部交货完毕</w:t>
            </w:r>
          </w:p>
        </w:tc>
        <w:tc>
          <w:tcPr>
            <w:tcW w:w="237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r>
              <w:rPr>
                <w:rFonts w:hint="eastAsia" w:ascii="宋体" w:hAnsi="宋体"/>
                <w:szCs w:val="21"/>
              </w:rPr>
              <w:t>1.4个门位围垛及粮面踏粮包约需麻袋1400条,必须用国标一等旧麻袋做为包装，以上所需所有麻袋不作价，不计重，由供方无偿提供。</w:t>
            </w:r>
          </w:p>
          <w:p>
            <w:pPr>
              <w:spacing w:line="240" w:lineRule="exact"/>
              <w:ind w:firstLine="105" w:firstLineChars="50"/>
              <w:jc w:val="center"/>
              <w:rPr>
                <w:rFonts w:ascii="宋体" w:hAnsi="宋体"/>
                <w:szCs w:val="21"/>
              </w:rPr>
            </w:pPr>
            <w:r>
              <w:rPr>
                <w:rFonts w:hint="eastAsia" w:ascii="宋体" w:hAnsi="宋体"/>
                <w:szCs w:val="21"/>
              </w:rPr>
              <w:t>搬运费及进仓堆垛完毕前一切费用由供方负担。</w:t>
            </w:r>
          </w:p>
          <w:p>
            <w:pPr>
              <w:spacing w:line="240" w:lineRule="exact"/>
              <w:ind w:firstLine="105" w:firstLineChars="50"/>
              <w:jc w:val="center"/>
              <w:rPr>
                <w:rFonts w:ascii="仿宋_GB2312" w:hAnsi="仿宋" w:eastAsia="仿宋_GB2312"/>
                <w:b/>
                <w:bCs/>
                <w:szCs w:val="21"/>
              </w:rPr>
            </w:pPr>
            <w:r>
              <w:rPr>
                <w:rFonts w:hint="eastAsia" w:ascii="宋体" w:hAnsi="宋体"/>
                <w:szCs w:val="21"/>
              </w:rPr>
              <w:t>3.若供方需使用需方设备，设备使用费为4元/吨（含电费）。</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r>
              <w:rPr>
                <w:rFonts w:hint="eastAsia" w:ascii="宋体" w:hAnsi="宋体"/>
                <w:szCs w:val="21"/>
              </w:rPr>
              <w:t>联系人：</w:t>
            </w:r>
          </w:p>
          <w:p>
            <w:pPr>
              <w:spacing w:line="240" w:lineRule="exact"/>
              <w:ind w:firstLine="105" w:firstLineChars="50"/>
              <w:jc w:val="center"/>
              <w:rPr>
                <w:rFonts w:ascii="宋体" w:hAnsi="宋体"/>
                <w:szCs w:val="21"/>
              </w:rPr>
            </w:pPr>
            <w:r>
              <w:rPr>
                <w:rFonts w:hint="eastAsia" w:ascii="宋体" w:hAnsi="宋体"/>
                <w:szCs w:val="21"/>
              </w:rPr>
              <w:t>王先生：13860903737</w:t>
            </w:r>
          </w:p>
          <w:p>
            <w:pPr>
              <w:spacing w:line="240" w:lineRule="exact"/>
              <w:ind w:firstLine="105" w:firstLineChars="50"/>
              <w:jc w:val="center"/>
              <w:rPr>
                <w:rFonts w:ascii="仿宋" w:hAnsi="仿宋" w:eastAsia="仿宋"/>
                <w:szCs w:val="21"/>
                <w:shd w:val="clear" w:color="FFFFFF" w:fill="D9D9D9"/>
              </w:rPr>
            </w:pPr>
            <w:r>
              <w:rPr>
                <w:rFonts w:hint="eastAsia" w:ascii="宋体" w:hAnsi="宋体"/>
                <w:szCs w:val="21"/>
              </w:rPr>
              <w:t>麻志勇：13706061964</w:t>
            </w:r>
          </w:p>
        </w:tc>
      </w:tr>
      <w:tr>
        <w:tblPrEx>
          <w:tblLayout w:type="fixed"/>
          <w:tblCellMar>
            <w:top w:w="0" w:type="dxa"/>
            <w:left w:w="0" w:type="dxa"/>
            <w:bottom w:w="0" w:type="dxa"/>
            <w:right w:w="0" w:type="dxa"/>
          </w:tblCellMar>
        </w:tblPrEx>
        <w:trPr>
          <w:trHeight w:val="1173" w:hRule="exact"/>
        </w:trPr>
        <w:tc>
          <w:tcPr>
            <w:tcW w:w="4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b/>
                <w:bCs/>
                <w:szCs w:val="21"/>
              </w:rPr>
              <w:t>序号</w:t>
            </w:r>
          </w:p>
        </w:tc>
        <w:tc>
          <w:tcPr>
            <w:tcW w:w="12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b/>
                <w:bCs/>
                <w:szCs w:val="21"/>
              </w:rPr>
              <w:t>品  名</w:t>
            </w:r>
          </w:p>
        </w:tc>
        <w:tc>
          <w:tcPr>
            <w:tcW w:w="9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bCs/>
                <w:szCs w:val="21"/>
              </w:rPr>
            </w:pPr>
            <w:r>
              <w:rPr>
                <w:rFonts w:hint="eastAsia" w:ascii="宋体" w:hAnsi="宋体"/>
                <w:b/>
                <w:bCs/>
                <w:szCs w:val="21"/>
              </w:rPr>
              <w:t>数量</w:t>
            </w:r>
          </w:p>
          <w:p>
            <w:pPr>
              <w:spacing w:line="240" w:lineRule="exact"/>
              <w:jc w:val="center"/>
              <w:rPr>
                <w:rFonts w:ascii="宋体" w:hAnsi="宋体"/>
                <w:szCs w:val="21"/>
              </w:rPr>
            </w:pPr>
            <w:r>
              <w:rPr>
                <w:rFonts w:hint="eastAsia" w:ascii="宋体" w:hAnsi="宋体"/>
                <w:b/>
                <w:bCs/>
                <w:szCs w:val="21"/>
              </w:rPr>
              <w:t>（吨）</w:t>
            </w: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bCs/>
                <w:szCs w:val="21"/>
              </w:rPr>
            </w:pPr>
            <w:r>
              <w:rPr>
                <w:rFonts w:hint="eastAsia" w:ascii="宋体" w:hAnsi="宋体"/>
                <w:b/>
                <w:bCs/>
                <w:szCs w:val="21"/>
              </w:rPr>
              <w:t>储存</w:t>
            </w:r>
          </w:p>
          <w:p>
            <w:pPr>
              <w:spacing w:line="240" w:lineRule="exact"/>
              <w:jc w:val="center"/>
              <w:rPr>
                <w:rFonts w:ascii="宋体" w:hAnsi="宋体"/>
                <w:szCs w:val="21"/>
              </w:rPr>
            </w:pPr>
            <w:r>
              <w:rPr>
                <w:rFonts w:hint="eastAsia" w:ascii="宋体" w:hAnsi="宋体"/>
                <w:b/>
                <w:bCs/>
                <w:szCs w:val="21"/>
              </w:rPr>
              <w:t>方式</w:t>
            </w:r>
          </w:p>
        </w:tc>
        <w:tc>
          <w:tcPr>
            <w:tcW w:w="9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b/>
                <w:bCs/>
                <w:szCs w:val="21"/>
              </w:rPr>
              <w:t>储粮单位</w:t>
            </w:r>
          </w:p>
        </w:tc>
        <w:tc>
          <w:tcPr>
            <w:tcW w:w="13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b/>
                <w:bCs/>
                <w:szCs w:val="21"/>
              </w:rPr>
              <w:t>存放仓库</w:t>
            </w:r>
          </w:p>
        </w:tc>
        <w:tc>
          <w:tcPr>
            <w:tcW w:w="13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b/>
                <w:bCs/>
                <w:szCs w:val="21"/>
              </w:rPr>
              <w:t>交货时限</w:t>
            </w:r>
          </w:p>
        </w:tc>
        <w:tc>
          <w:tcPr>
            <w:tcW w:w="23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b/>
                <w:bCs/>
                <w:szCs w:val="21"/>
              </w:rPr>
            </w:pPr>
            <w:r>
              <w:rPr>
                <w:rFonts w:hint="eastAsia" w:ascii="宋体" w:hAnsi="宋体"/>
                <w:b/>
                <w:bCs/>
                <w:szCs w:val="21"/>
              </w:rPr>
              <w:t>特别约定</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Cs w:val="21"/>
                <w:shd w:val="clear" w:color="FFFFFF" w:fill="D9D9D9"/>
              </w:rPr>
            </w:pPr>
            <w:r>
              <w:rPr>
                <w:rFonts w:hint="eastAsia" w:ascii="宋体" w:hAnsi="宋体"/>
                <w:b/>
                <w:bCs/>
                <w:szCs w:val="21"/>
              </w:rPr>
              <w:t>联系方式</w:t>
            </w:r>
          </w:p>
        </w:tc>
      </w:tr>
      <w:tr>
        <w:tblPrEx>
          <w:tblLayout w:type="fixed"/>
          <w:tblCellMar>
            <w:top w:w="0" w:type="dxa"/>
            <w:left w:w="0" w:type="dxa"/>
            <w:bottom w:w="0" w:type="dxa"/>
            <w:right w:w="0" w:type="dxa"/>
          </w:tblCellMar>
        </w:tblPrEx>
        <w:trPr>
          <w:trHeight w:val="3088" w:hRule="exact"/>
        </w:trPr>
        <w:tc>
          <w:tcPr>
            <w:tcW w:w="4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5</w:t>
            </w:r>
          </w:p>
        </w:tc>
        <w:tc>
          <w:tcPr>
            <w:tcW w:w="1252"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r>
              <w:rPr>
                <w:rFonts w:hint="eastAsia" w:ascii="宋体" w:hAnsi="宋体"/>
                <w:szCs w:val="21"/>
              </w:rPr>
              <w:t>2017年度生产的早籼稻</w:t>
            </w:r>
          </w:p>
        </w:tc>
        <w:tc>
          <w:tcPr>
            <w:tcW w:w="97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2814.509</w:t>
            </w: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r>
              <w:rPr>
                <w:rFonts w:hint="eastAsia" w:ascii="宋体" w:hAnsi="宋体"/>
                <w:szCs w:val="21"/>
              </w:rPr>
              <w:t>散装</w:t>
            </w:r>
          </w:p>
        </w:tc>
        <w:tc>
          <w:tcPr>
            <w:tcW w:w="968" w:type="dxa"/>
            <w:tcBorders>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r>
              <w:rPr>
                <w:rFonts w:hint="eastAsia" w:ascii="宋体" w:hAnsi="宋体"/>
                <w:szCs w:val="21"/>
              </w:rPr>
              <w:t>莆田市秀屿粮食购销有限公司</w:t>
            </w:r>
          </w:p>
        </w:tc>
        <w:tc>
          <w:tcPr>
            <w:tcW w:w="130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r>
              <w:rPr>
                <w:rFonts w:hint="eastAsia" w:ascii="宋体" w:hAnsi="宋体"/>
                <w:szCs w:val="21"/>
              </w:rPr>
              <w:t>秀屿库2P3、2P4、2P5仓</w:t>
            </w:r>
          </w:p>
        </w:tc>
        <w:tc>
          <w:tcPr>
            <w:tcW w:w="131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r>
              <w:rPr>
                <w:rFonts w:hint="eastAsia" w:ascii="宋体" w:hAnsi="宋体"/>
                <w:szCs w:val="21"/>
              </w:rPr>
              <w:t>自成交之日起50日内全部交货完毕</w:t>
            </w:r>
          </w:p>
        </w:tc>
        <w:tc>
          <w:tcPr>
            <w:tcW w:w="2376" w:type="dxa"/>
            <w:tcBorders>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r>
              <w:rPr>
                <w:rFonts w:hint="eastAsia" w:ascii="宋体" w:hAnsi="宋体"/>
                <w:szCs w:val="21"/>
              </w:rPr>
              <w:t>1.6个门位围垛及粮面踏粮包约需麻袋2100条,必须用国标一等旧麻袋做为包装，以上所需所有麻袋不作价，不计重，由供方无偿提供。2.搬运费及进</w:t>
            </w:r>
            <w:r>
              <w:rPr>
                <w:rFonts w:hint="eastAsia" w:ascii="仿宋_GB2312" w:hAnsi="仿宋" w:eastAsia="仿宋_GB2312"/>
                <w:b/>
                <w:bCs/>
                <w:szCs w:val="21"/>
              </w:rPr>
              <w:t>仓堆</w:t>
            </w:r>
            <w:r>
              <w:rPr>
                <w:rFonts w:hint="eastAsia" w:ascii="宋体" w:hAnsi="宋体"/>
                <w:szCs w:val="21"/>
              </w:rPr>
              <w:t>垛完毕前一切费用由供方负担。</w:t>
            </w:r>
          </w:p>
          <w:p>
            <w:pPr>
              <w:spacing w:line="240" w:lineRule="exact"/>
              <w:ind w:firstLine="105" w:firstLineChars="50"/>
              <w:jc w:val="center"/>
              <w:rPr>
                <w:rFonts w:ascii="仿宋_GB2312" w:hAnsi="仿宋" w:eastAsia="仿宋_GB2312"/>
                <w:b/>
                <w:bCs/>
                <w:szCs w:val="21"/>
              </w:rPr>
            </w:pPr>
            <w:r>
              <w:rPr>
                <w:rFonts w:hint="eastAsia" w:ascii="宋体" w:hAnsi="宋体"/>
                <w:szCs w:val="21"/>
              </w:rPr>
              <w:t>3.若供方需使用需方设备，设备使用费为4元/吨（含电费）。</w:t>
            </w:r>
          </w:p>
        </w:tc>
        <w:tc>
          <w:tcPr>
            <w:tcW w:w="1417" w:type="dxa"/>
            <w:tcBorders>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r>
              <w:rPr>
                <w:rFonts w:hint="eastAsia" w:ascii="宋体" w:hAnsi="宋体"/>
                <w:szCs w:val="21"/>
              </w:rPr>
              <w:t>联系人：</w:t>
            </w:r>
          </w:p>
          <w:p>
            <w:pPr>
              <w:spacing w:line="240" w:lineRule="exact"/>
              <w:ind w:firstLine="105" w:firstLineChars="50"/>
              <w:jc w:val="center"/>
              <w:rPr>
                <w:rFonts w:ascii="宋体" w:hAnsi="宋体"/>
                <w:szCs w:val="21"/>
              </w:rPr>
            </w:pPr>
            <w:r>
              <w:rPr>
                <w:rFonts w:hint="eastAsia" w:ascii="宋体" w:hAnsi="宋体"/>
                <w:szCs w:val="21"/>
              </w:rPr>
              <w:t>王先生：13860903737</w:t>
            </w:r>
          </w:p>
          <w:p>
            <w:pPr>
              <w:spacing w:line="240" w:lineRule="exact"/>
              <w:jc w:val="center"/>
              <w:rPr>
                <w:rFonts w:ascii="仿宋" w:hAnsi="仿宋" w:eastAsia="仿宋"/>
                <w:szCs w:val="21"/>
                <w:shd w:val="clear" w:color="FFFFFF" w:fill="D9D9D9"/>
              </w:rPr>
            </w:pPr>
            <w:r>
              <w:rPr>
                <w:rFonts w:hint="eastAsia" w:ascii="宋体" w:hAnsi="宋体"/>
                <w:szCs w:val="21"/>
              </w:rPr>
              <w:t>麻志勇：13706061964</w:t>
            </w:r>
          </w:p>
        </w:tc>
      </w:tr>
      <w:tr>
        <w:tblPrEx>
          <w:tblLayout w:type="fixed"/>
          <w:tblCellMar>
            <w:top w:w="0" w:type="dxa"/>
            <w:left w:w="0" w:type="dxa"/>
            <w:bottom w:w="0" w:type="dxa"/>
            <w:right w:w="0" w:type="dxa"/>
          </w:tblCellMar>
        </w:tblPrEx>
        <w:trPr>
          <w:trHeight w:val="705" w:hRule="exact"/>
        </w:trPr>
        <w:tc>
          <w:tcPr>
            <w:tcW w:w="468"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p>
        </w:tc>
        <w:tc>
          <w:tcPr>
            <w:tcW w:w="1252"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r>
              <w:rPr>
                <w:rFonts w:hint="eastAsia" w:ascii="宋体" w:hAnsi="宋体"/>
                <w:szCs w:val="21"/>
              </w:rPr>
              <w:t>合  计</w:t>
            </w:r>
          </w:p>
        </w:tc>
        <w:tc>
          <w:tcPr>
            <w:tcW w:w="979"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r>
              <w:rPr>
                <w:rFonts w:hint="eastAsia" w:ascii="宋体" w:hAnsi="宋体"/>
                <w:szCs w:val="21"/>
              </w:rPr>
              <w:t>4814.509</w:t>
            </w: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p>
        </w:tc>
        <w:tc>
          <w:tcPr>
            <w:tcW w:w="968"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right="6"/>
              <w:jc w:val="center"/>
              <w:rPr>
                <w:rFonts w:ascii="宋体" w:hAnsi="宋体"/>
                <w:szCs w:val="21"/>
              </w:rPr>
            </w:pPr>
          </w:p>
        </w:tc>
        <w:tc>
          <w:tcPr>
            <w:tcW w:w="131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仿宋_GB2312" w:hAnsi="仿宋" w:eastAsia="仿宋_GB2312"/>
                <w:b/>
                <w:bCs/>
                <w:szCs w:val="21"/>
              </w:rPr>
            </w:pPr>
          </w:p>
        </w:tc>
        <w:tc>
          <w:tcPr>
            <w:tcW w:w="237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仿宋_GB2312" w:hAnsi="仿宋" w:eastAsia="仿宋_GB2312"/>
                <w:b/>
                <w:bCs/>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Cs w:val="21"/>
                <w:shd w:val="clear" w:color="FFFFFF" w:fill="D9D9D9"/>
              </w:rPr>
            </w:pPr>
          </w:p>
        </w:tc>
      </w:tr>
      <w:tr>
        <w:tblPrEx>
          <w:tblLayout w:type="fixed"/>
          <w:tblCellMar>
            <w:top w:w="0" w:type="dxa"/>
            <w:left w:w="0" w:type="dxa"/>
            <w:bottom w:w="0" w:type="dxa"/>
            <w:right w:w="0" w:type="dxa"/>
          </w:tblCellMar>
        </w:tblPrEx>
        <w:trPr>
          <w:trHeight w:val="555" w:hRule="exact"/>
        </w:trPr>
        <w:tc>
          <w:tcPr>
            <w:tcW w:w="4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Cs w:val="21"/>
              </w:rPr>
            </w:pPr>
          </w:p>
        </w:tc>
        <w:tc>
          <w:tcPr>
            <w:tcW w:w="1252"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05" w:firstLineChars="50"/>
              <w:jc w:val="center"/>
              <w:rPr>
                <w:rFonts w:ascii="宋体" w:hAnsi="宋体"/>
                <w:b/>
                <w:szCs w:val="21"/>
              </w:rPr>
            </w:pPr>
            <w:r>
              <w:rPr>
                <w:rFonts w:hint="eastAsia" w:ascii="宋体" w:hAnsi="宋体"/>
                <w:b/>
                <w:szCs w:val="21"/>
              </w:rPr>
              <w:t>总  计</w:t>
            </w:r>
          </w:p>
        </w:tc>
        <w:tc>
          <w:tcPr>
            <w:tcW w:w="9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szCs w:val="21"/>
              </w:rPr>
            </w:pPr>
            <w:r>
              <w:rPr>
                <w:rFonts w:hint="eastAsia" w:ascii="宋体" w:hAnsi="宋体"/>
                <w:b/>
                <w:szCs w:val="21"/>
              </w:rPr>
              <w:t>14153.509</w:t>
            </w: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b/>
                <w:szCs w:val="21"/>
              </w:rPr>
            </w:pPr>
          </w:p>
        </w:tc>
        <w:tc>
          <w:tcPr>
            <w:tcW w:w="9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b/>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仿宋" w:hAnsi="仿宋" w:eastAsia="仿宋"/>
                <w:b/>
                <w:szCs w:val="21"/>
              </w:rPr>
            </w:pPr>
          </w:p>
        </w:tc>
        <w:tc>
          <w:tcPr>
            <w:tcW w:w="13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b/>
                <w:szCs w:val="21"/>
              </w:rPr>
            </w:pPr>
          </w:p>
        </w:tc>
        <w:tc>
          <w:tcPr>
            <w:tcW w:w="23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b/>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Cs w:val="21"/>
                <w:shd w:val="clear" w:color="FFFFFF" w:fill="D9D9D9"/>
              </w:rPr>
            </w:pPr>
          </w:p>
        </w:tc>
      </w:tr>
    </w:tbl>
    <w:p>
      <w:pPr>
        <w:spacing w:line="360" w:lineRule="auto"/>
        <w:rPr>
          <w:rFonts w:ascii="宋体" w:hAnsi="宋体"/>
          <w:b/>
          <w:sz w:val="36"/>
        </w:rPr>
      </w:pPr>
    </w:p>
    <w:p>
      <w:pPr>
        <w:spacing w:line="360" w:lineRule="auto"/>
        <w:rPr>
          <w:rFonts w:ascii="宋体" w:hAnsi="宋体"/>
          <w:b/>
          <w:sz w:val="36"/>
        </w:rPr>
      </w:pPr>
    </w:p>
    <w:p>
      <w:pPr>
        <w:spacing w:line="360" w:lineRule="auto"/>
        <w:rPr>
          <w:rFonts w:ascii="宋体" w:hAnsi="宋体"/>
          <w:b/>
          <w:sz w:val="36"/>
        </w:rPr>
      </w:pPr>
    </w:p>
    <w:p>
      <w:pPr>
        <w:spacing w:line="360" w:lineRule="auto"/>
        <w:rPr>
          <w:rFonts w:ascii="宋体" w:hAnsi="宋体"/>
          <w:b/>
          <w:sz w:val="36"/>
        </w:rPr>
      </w:pPr>
    </w:p>
    <w:p>
      <w:pPr>
        <w:spacing w:line="360" w:lineRule="auto"/>
        <w:rPr>
          <w:rFonts w:hint="eastAsia" w:ascii="宋体" w:hAnsi="宋体"/>
          <w:b/>
          <w:sz w:val="36"/>
        </w:rPr>
      </w:pPr>
    </w:p>
    <w:p>
      <w:pPr>
        <w:spacing w:line="360" w:lineRule="auto"/>
        <w:rPr>
          <w:rFonts w:hint="eastAsia" w:ascii="宋体" w:hAnsi="宋体"/>
          <w:b/>
          <w:sz w:val="36"/>
        </w:rPr>
      </w:pPr>
    </w:p>
    <w:p>
      <w:pPr>
        <w:spacing w:line="360" w:lineRule="auto"/>
        <w:rPr>
          <w:rFonts w:hint="eastAsia" w:ascii="宋体" w:hAnsi="宋体"/>
          <w:b/>
          <w:sz w:val="36"/>
        </w:rPr>
      </w:pPr>
    </w:p>
    <w:p>
      <w:pPr>
        <w:spacing w:line="360" w:lineRule="auto"/>
        <w:rPr>
          <w:rFonts w:hint="eastAsia" w:ascii="宋体" w:hAnsi="宋体"/>
          <w:b/>
          <w:sz w:val="36"/>
        </w:rPr>
      </w:pPr>
    </w:p>
    <w:p>
      <w:pPr>
        <w:spacing w:line="360" w:lineRule="auto"/>
        <w:rPr>
          <w:rFonts w:hint="eastAsia" w:ascii="宋体" w:hAnsi="宋体"/>
          <w:b/>
          <w:sz w:val="36"/>
        </w:rPr>
      </w:pPr>
    </w:p>
    <w:p>
      <w:pPr>
        <w:spacing w:line="360" w:lineRule="auto"/>
        <w:rPr>
          <w:rFonts w:hint="eastAsia" w:ascii="宋体" w:hAnsi="宋体"/>
          <w:b/>
          <w:sz w:val="36"/>
        </w:rPr>
      </w:pPr>
    </w:p>
    <w:p>
      <w:pPr>
        <w:spacing w:line="360" w:lineRule="auto"/>
        <w:rPr>
          <w:rFonts w:hint="eastAsia" w:ascii="宋体" w:hAnsi="宋体"/>
          <w:b/>
          <w:sz w:val="36"/>
        </w:rPr>
      </w:pPr>
    </w:p>
    <w:p>
      <w:pPr>
        <w:spacing w:line="360" w:lineRule="auto"/>
        <w:rPr>
          <w:rFonts w:hint="eastAsia" w:ascii="宋体" w:hAnsi="宋体"/>
          <w:b/>
          <w:sz w:val="36"/>
        </w:rPr>
      </w:pPr>
    </w:p>
    <w:p>
      <w:pPr>
        <w:spacing w:line="360" w:lineRule="auto"/>
        <w:rPr>
          <w:rFonts w:ascii="宋体" w:hAnsi="宋体"/>
          <w:b/>
          <w:sz w:val="36"/>
        </w:rPr>
      </w:pPr>
      <w:r>
        <w:rPr>
          <w:rFonts w:hint="eastAsia" w:ascii="宋体" w:hAnsi="宋体"/>
          <w:b/>
          <w:sz w:val="36"/>
        </w:rPr>
        <w:t>样本</w:t>
      </w:r>
    </w:p>
    <w:p>
      <w:pPr>
        <w:widowControl w:val="0"/>
        <w:snapToGrid w:val="0"/>
        <w:spacing w:line="634" w:lineRule="atLeast"/>
        <w:jc w:val="center"/>
        <w:rPr>
          <w:rFonts w:ascii="宋体" w:hAnsi="宋体"/>
          <w:b/>
          <w:spacing w:val="-40"/>
          <w:sz w:val="44"/>
          <w:szCs w:val="44"/>
        </w:rPr>
      </w:pPr>
      <w:r>
        <w:rPr>
          <w:rFonts w:hint="eastAsia" w:ascii="宋体" w:hAnsi="宋体"/>
          <w:b/>
          <w:spacing w:val="-40"/>
          <w:sz w:val="44"/>
          <w:szCs w:val="44"/>
        </w:rPr>
        <w:t>莆田市专项储备粮轮换竞价采购交易会</w:t>
      </w:r>
    </w:p>
    <w:p>
      <w:pPr>
        <w:spacing w:line="480" w:lineRule="exact"/>
        <w:jc w:val="center"/>
        <w:rPr>
          <w:rFonts w:ascii="宋体" w:hAnsi="宋体"/>
          <w:b/>
          <w:spacing w:val="-40"/>
          <w:sz w:val="44"/>
          <w:szCs w:val="44"/>
        </w:rPr>
      </w:pPr>
      <w:r>
        <w:rPr>
          <w:rFonts w:hint="eastAsia" w:ascii="宋体" w:hAnsi="宋体"/>
          <w:b/>
          <w:spacing w:val="-40"/>
          <w:sz w:val="44"/>
          <w:szCs w:val="44"/>
        </w:rPr>
        <w:t>（2017年第二场）</w:t>
      </w:r>
    </w:p>
    <w:p>
      <w:pPr>
        <w:pStyle w:val="15"/>
        <w:spacing w:line="480" w:lineRule="exact"/>
        <w:rPr>
          <w:rFonts w:ascii="宋体" w:hAnsi="宋体"/>
          <w:b/>
        </w:rPr>
      </w:pPr>
      <w:r>
        <w:rPr>
          <w:rFonts w:hint="eastAsia" w:ascii="宋体" w:hAnsi="宋体"/>
          <w:b/>
          <w:sz w:val="44"/>
        </w:rPr>
        <w:t>竞价采购成交确认书</w:t>
      </w:r>
    </w:p>
    <w:p>
      <w:pPr>
        <w:tabs>
          <w:tab w:val="left" w:pos="7035"/>
        </w:tabs>
        <w:spacing w:line="500" w:lineRule="exact"/>
        <w:rPr>
          <w:rFonts w:ascii="仿宋_GB2312" w:hAnsi="宋体" w:eastAsia="仿宋_GB2312"/>
          <w:sz w:val="18"/>
        </w:rPr>
      </w:pPr>
    </w:p>
    <w:p>
      <w:pPr>
        <w:tabs>
          <w:tab w:val="left" w:pos="7035"/>
        </w:tabs>
        <w:spacing w:line="500" w:lineRule="exact"/>
        <w:rPr>
          <w:rFonts w:ascii="仿宋" w:hAnsi="仿宋" w:eastAsia="仿宋"/>
          <w:sz w:val="24"/>
        </w:rPr>
      </w:pPr>
      <w:r>
        <w:rPr>
          <w:rFonts w:hint="eastAsia" w:ascii="仿宋" w:hAnsi="仿宋" w:eastAsia="仿宋"/>
          <w:sz w:val="24"/>
        </w:rPr>
        <w:t>竞价采购交易会地点：</w:t>
      </w:r>
      <w:r>
        <w:rPr>
          <w:rFonts w:hint="eastAsia" w:ascii="仿宋" w:hAnsi="仿宋" w:eastAsia="仿宋"/>
          <w:sz w:val="24"/>
          <w:u w:val="single"/>
        </w:rPr>
        <w:t>福州市闽候荆溪镇杜坞粮食批发交易市场</w:t>
      </w:r>
    </w:p>
    <w:p>
      <w:pPr>
        <w:tabs>
          <w:tab w:val="left" w:pos="7035"/>
        </w:tabs>
        <w:spacing w:line="500" w:lineRule="exact"/>
        <w:rPr>
          <w:rFonts w:ascii="仿宋" w:hAnsi="仿宋" w:eastAsia="仿宋"/>
          <w:sz w:val="24"/>
          <w:u w:val="single"/>
        </w:rPr>
      </w:pPr>
      <w:r>
        <w:rPr>
          <w:rFonts w:hint="eastAsia" w:ascii="仿宋" w:hAnsi="仿宋" w:eastAsia="仿宋"/>
          <w:sz w:val="24"/>
        </w:rPr>
        <w:t>确认书编号：</w:t>
      </w:r>
      <w:r>
        <w:rPr>
          <w:rFonts w:hint="eastAsia" w:ascii="仿宋" w:hAnsi="仿宋" w:eastAsia="仿宋"/>
          <w:sz w:val="24"/>
          <w:u w:val="single"/>
        </w:rPr>
        <w:t xml:space="preserve">                    </w:t>
      </w:r>
    </w:p>
    <w:p>
      <w:pPr>
        <w:tabs>
          <w:tab w:val="left" w:pos="7035"/>
        </w:tabs>
        <w:spacing w:line="500" w:lineRule="exact"/>
        <w:rPr>
          <w:rFonts w:ascii="仿宋" w:hAnsi="仿宋" w:eastAsia="仿宋"/>
          <w:spacing w:val="12"/>
          <w:sz w:val="24"/>
        </w:rPr>
      </w:pPr>
      <w:r>
        <w:rPr>
          <w:rFonts w:hint="eastAsia" w:ascii="仿宋" w:hAnsi="仿宋" w:eastAsia="仿宋"/>
          <w:sz w:val="24"/>
        </w:rPr>
        <w:t>竞价采购交易会主持机构：</w:t>
      </w:r>
      <w:r>
        <w:rPr>
          <w:rFonts w:hint="eastAsia" w:ascii="仿宋" w:hAnsi="仿宋" w:eastAsia="仿宋"/>
          <w:sz w:val="24"/>
          <w:u w:val="single"/>
        </w:rPr>
        <w:t>福州杜坞粮食交易市场有限公司</w:t>
      </w:r>
    </w:p>
    <w:p>
      <w:pPr>
        <w:tabs>
          <w:tab w:val="left" w:pos="7035"/>
        </w:tabs>
        <w:spacing w:line="500" w:lineRule="exact"/>
        <w:rPr>
          <w:rFonts w:ascii="仿宋" w:hAnsi="仿宋" w:eastAsia="仿宋"/>
          <w:sz w:val="24"/>
        </w:rPr>
      </w:pPr>
      <w:r>
        <w:rPr>
          <w:rFonts w:hint="eastAsia" w:ascii="仿宋" w:hAnsi="仿宋" w:eastAsia="仿宋"/>
          <w:sz w:val="24"/>
        </w:rPr>
        <w:t>中标人：</w:t>
      </w:r>
      <w:r>
        <w:rPr>
          <w:rFonts w:hint="eastAsia" w:ascii="仿宋" w:hAnsi="仿宋" w:eastAsia="仿宋"/>
          <w:sz w:val="24"/>
          <w:u w:val="single"/>
        </w:rPr>
        <w:t xml:space="preserve">                     </w:t>
      </w:r>
      <w:r>
        <w:rPr>
          <w:rFonts w:hint="eastAsia" w:ascii="仿宋" w:hAnsi="仿宋" w:eastAsia="仿宋"/>
          <w:sz w:val="24"/>
        </w:rPr>
        <w:t xml:space="preserve">                  竞标号：</w:t>
      </w:r>
      <w:r>
        <w:rPr>
          <w:rFonts w:hint="eastAsia" w:ascii="仿宋" w:hAnsi="仿宋" w:eastAsia="仿宋"/>
          <w:sz w:val="24"/>
          <w:u w:val="single"/>
        </w:rPr>
        <w:t xml:space="preserve">          </w:t>
      </w:r>
      <w:r>
        <w:rPr>
          <w:rFonts w:hint="eastAsia" w:ascii="仿宋" w:hAnsi="仿宋" w:eastAsia="仿宋"/>
          <w:sz w:val="24"/>
        </w:rPr>
        <w:t xml:space="preserve"> </w:t>
      </w:r>
    </w:p>
    <w:p>
      <w:pPr>
        <w:tabs>
          <w:tab w:val="left" w:pos="7035"/>
        </w:tabs>
        <w:spacing w:line="500" w:lineRule="exact"/>
        <w:rPr>
          <w:rFonts w:ascii="仿宋" w:hAnsi="仿宋" w:eastAsia="仿宋"/>
          <w:sz w:val="24"/>
          <w:u w:val="single"/>
        </w:rPr>
      </w:pPr>
      <w:r>
        <w:rPr>
          <w:rFonts w:hint="eastAsia" w:ascii="仿宋" w:hAnsi="仿宋" w:eastAsia="仿宋"/>
          <w:sz w:val="24"/>
        </w:rPr>
        <w:t>竞价交易师：</w:t>
      </w:r>
      <w:r>
        <w:rPr>
          <w:rFonts w:hint="eastAsia" w:ascii="仿宋" w:hAnsi="仿宋" w:eastAsia="仿宋"/>
          <w:sz w:val="24"/>
          <w:u w:val="single"/>
        </w:rPr>
        <w:t xml:space="preserve">                     </w:t>
      </w:r>
      <w:r>
        <w:rPr>
          <w:rFonts w:hint="eastAsia" w:ascii="仿宋" w:hAnsi="仿宋" w:eastAsia="仿宋"/>
          <w:sz w:val="24"/>
        </w:rPr>
        <w:t xml:space="preserve">               记录员：</w:t>
      </w:r>
      <w:r>
        <w:rPr>
          <w:rFonts w:hint="eastAsia" w:ascii="仿宋" w:hAnsi="仿宋" w:eastAsia="仿宋"/>
          <w:sz w:val="24"/>
          <w:u w:val="single"/>
        </w:rPr>
        <w:t xml:space="preserve">          </w:t>
      </w:r>
      <w:r>
        <w:rPr>
          <w:rFonts w:hint="eastAsia" w:ascii="仿宋" w:hAnsi="仿宋" w:eastAsia="仿宋"/>
          <w:sz w:val="24"/>
        </w:rPr>
        <w:t xml:space="preserve"> </w:t>
      </w:r>
    </w:p>
    <w:p>
      <w:pPr>
        <w:tabs>
          <w:tab w:val="left" w:pos="7035"/>
        </w:tabs>
        <w:spacing w:line="500" w:lineRule="exact"/>
        <w:ind w:firstLine="570"/>
        <w:rPr>
          <w:rFonts w:ascii="仿宋" w:hAnsi="仿宋" w:eastAsia="仿宋"/>
          <w:sz w:val="24"/>
        </w:rPr>
      </w:pPr>
      <w:r>
        <w:rPr>
          <w:rFonts w:hint="eastAsia" w:ascii="仿宋" w:hAnsi="仿宋" w:eastAsia="仿宋"/>
          <w:sz w:val="24"/>
        </w:rPr>
        <w:t>第号竞标人于2017年9月19日上午，在本市场举办的“莆田市专项储备粮轮换竞价采购交易会（2017年第二场）”竞得如下标的：</w:t>
      </w:r>
    </w:p>
    <w:tbl>
      <w:tblPr>
        <w:tblStyle w:val="10"/>
        <w:tblW w:w="87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52"/>
        <w:gridCol w:w="1305"/>
        <w:gridCol w:w="1709"/>
        <w:gridCol w:w="1152"/>
        <w:gridCol w:w="1906"/>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6" w:hRule="atLeast"/>
        </w:trPr>
        <w:tc>
          <w:tcPr>
            <w:tcW w:w="1252" w:type="dxa"/>
            <w:tcBorders>
              <w:top w:val="single" w:color="000000" w:sz="2" w:space="0"/>
              <w:left w:val="single" w:color="000000" w:sz="2" w:space="0"/>
              <w:bottom w:val="single" w:color="000000" w:sz="2" w:space="0"/>
              <w:right w:val="single" w:color="000000" w:sz="2" w:space="0"/>
            </w:tcBorders>
            <w:vAlign w:val="center"/>
          </w:tcPr>
          <w:p>
            <w:pPr>
              <w:widowControl w:val="0"/>
              <w:snapToGrid w:val="0"/>
              <w:spacing w:line="317" w:lineRule="atLeast"/>
              <w:jc w:val="center"/>
              <w:rPr>
                <w:rFonts w:ascii="仿宋" w:hAnsi="仿宋" w:eastAsia="仿宋"/>
                <w:sz w:val="24"/>
              </w:rPr>
            </w:pPr>
          </w:p>
          <w:p>
            <w:pPr>
              <w:widowControl w:val="0"/>
              <w:snapToGrid w:val="0"/>
              <w:spacing w:line="317" w:lineRule="atLeast"/>
              <w:jc w:val="center"/>
              <w:rPr>
                <w:rFonts w:ascii="仿宋" w:hAnsi="仿宋" w:eastAsia="仿宋"/>
              </w:rPr>
            </w:pPr>
            <w:r>
              <w:rPr>
                <w:rFonts w:hint="eastAsia" w:ascii="仿宋" w:hAnsi="仿宋" w:eastAsia="仿宋"/>
                <w:sz w:val="24"/>
              </w:rPr>
              <w:t>标的序号</w:t>
            </w:r>
          </w:p>
        </w:tc>
        <w:tc>
          <w:tcPr>
            <w:tcW w:w="1305"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rPr>
            </w:pPr>
            <w:r>
              <w:rPr>
                <w:rFonts w:hint="eastAsia" w:ascii="仿宋" w:hAnsi="仿宋" w:eastAsia="仿宋"/>
                <w:sz w:val="24"/>
              </w:rPr>
              <w:t>品 种</w:t>
            </w:r>
          </w:p>
        </w:tc>
        <w:tc>
          <w:tcPr>
            <w:tcW w:w="1709" w:type="dxa"/>
            <w:tcBorders>
              <w:top w:val="single" w:color="000000" w:sz="2" w:space="0"/>
              <w:left w:val="single" w:color="auto" w:sz="4" w:space="0"/>
              <w:bottom w:val="single" w:color="000000" w:sz="2" w:space="0"/>
              <w:right w:val="single" w:color="000000" w:sz="2" w:space="0"/>
            </w:tcBorders>
            <w:vAlign w:val="center"/>
          </w:tcPr>
          <w:p>
            <w:pPr>
              <w:widowControl w:val="0"/>
              <w:tabs>
                <w:tab w:val="left" w:pos="7029"/>
              </w:tabs>
              <w:snapToGrid w:val="0"/>
              <w:spacing w:line="317" w:lineRule="atLeast"/>
              <w:jc w:val="center"/>
              <w:rPr>
                <w:rFonts w:ascii="仿宋" w:hAnsi="仿宋" w:eastAsia="仿宋"/>
              </w:rPr>
            </w:pPr>
            <w:r>
              <w:rPr>
                <w:rFonts w:hint="eastAsia" w:ascii="仿宋" w:hAnsi="仿宋" w:eastAsia="仿宋"/>
                <w:sz w:val="24"/>
              </w:rPr>
              <w:t>单  价</w:t>
            </w:r>
          </w:p>
          <w:p>
            <w:pPr>
              <w:widowControl w:val="0"/>
              <w:tabs>
                <w:tab w:val="left" w:pos="7029"/>
              </w:tabs>
              <w:snapToGrid w:val="0"/>
              <w:spacing w:line="317" w:lineRule="atLeast"/>
              <w:jc w:val="center"/>
              <w:rPr>
                <w:rFonts w:ascii="仿宋" w:hAnsi="仿宋" w:eastAsia="仿宋"/>
              </w:rPr>
            </w:pPr>
            <w:r>
              <w:rPr>
                <w:rFonts w:hint="eastAsia" w:ascii="仿宋" w:hAnsi="仿宋" w:eastAsia="仿宋"/>
                <w:sz w:val="24"/>
              </w:rPr>
              <w:t>（元/50公斤）</w:t>
            </w:r>
          </w:p>
        </w:tc>
        <w:tc>
          <w:tcPr>
            <w:tcW w:w="1152" w:type="dxa"/>
            <w:tcBorders>
              <w:top w:val="single" w:color="000000" w:sz="2" w:space="0"/>
              <w:left w:val="single" w:color="auto" w:sz="4" w:space="0"/>
              <w:bottom w:val="single" w:color="000000" w:sz="2" w:space="0"/>
              <w:right w:val="single" w:color="000000" w:sz="2" w:space="0"/>
            </w:tcBorders>
            <w:vAlign w:val="center"/>
          </w:tcPr>
          <w:p>
            <w:pPr>
              <w:widowControl w:val="0"/>
              <w:tabs>
                <w:tab w:val="left" w:pos="7029"/>
              </w:tabs>
              <w:snapToGrid w:val="0"/>
              <w:spacing w:line="317" w:lineRule="atLeast"/>
              <w:jc w:val="right"/>
              <w:rPr>
                <w:rFonts w:ascii="仿宋" w:hAnsi="仿宋" w:eastAsia="仿宋"/>
              </w:rPr>
            </w:pPr>
            <w:r>
              <w:rPr>
                <w:rFonts w:hint="eastAsia" w:ascii="仿宋" w:hAnsi="仿宋" w:eastAsia="仿宋"/>
                <w:spacing w:val="119"/>
                <w:sz w:val="24"/>
              </w:rPr>
              <w:t>数量</w:t>
            </w:r>
          </w:p>
          <w:p>
            <w:pPr>
              <w:widowControl w:val="0"/>
              <w:tabs>
                <w:tab w:val="left" w:pos="7029"/>
              </w:tabs>
              <w:snapToGrid w:val="0"/>
              <w:spacing w:line="317" w:lineRule="atLeast"/>
              <w:jc w:val="center"/>
              <w:rPr>
                <w:rFonts w:ascii="仿宋" w:hAnsi="仿宋" w:eastAsia="仿宋"/>
              </w:rPr>
            </w:pPr>
            <w:r>
              <w:rPr>
                <w:rFonts w:hint="eastAsia" w:ascii="仿宋" w:hAnsi="仿宋" w:eastAsia="仿宋"/>
                <w:sz w:val="24"/>
              </w:rPr>
              <w:t>（公斤）</w:t>
            </w:r>
          </w:p>
        </w:tc>
        <w:tc>
          <w:tcPr>
            <w:tcW w:w="3290"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rPr>
            </w:pPr>
            <w:r>
              <w:rPr>
                <w:rFonts w:hint="eastAsia" w:ascii="仿宋" w:hAnsi="仿宋" w:eastAsia="仿宋"/>
                <w:sz w:val="24"/>
              </w:rPr>
              <w:t>存 放 地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3" w:hRule="atLeast"/>
        </w:trPr>
        <w:tc>
          <w:tcPr>
            <w:tcW w:w="1252" w:type="dxa"/>
            <w:tcBorders>
              <w:top w:val="single" w:color="auto" w:sz="4" w:space="0"/>
              <w:left w:val="single" w:color="000000" w:sz="2" w:space="0"/>
              <w:bottom w:val="single" w:color="000000" w:sz="2" w:space="0"/>
              <w:right w:val="single" w:color="000000" w:sz="2" w:space="0"/>
            </w:tcBorders>
          </w:tcPr>
          <w:p>
            <w:pPr>
              <w:jc w:val="center"/>
              <w:rPr>
                <w:rFonts w:ascii="仿宋" w:hAnsi="仿宋" w:eastAsia="仿宋"/>
              </w:rPr>
            </w:pPr>
          </w:p>
        </w:tc>
        <w:tc>
          <w:tcPr>
            <w:tcW w:w="1305" w:type="dxa"/>
            <w:tcBorders>
              <w:top w:val="single" w:color="auto" w:sz="4" w:space="0"/>
              <w:left w:val="single" w:color="auto" w:sz="4" w:space="0"/>
              <w:bottom w:val="single" w:color="000000" w:sz="2" w:space="0"/>
              <w:right w:val="single" w:color="000000" w:sz="2" w:space="0"/>
            </w:tcBorders>
          </w:tcPr>
          <w:p>
            <w:pPr>
              <w:jc w:val="left"/>
              <w:rPr>
                <w:rFonts w:ascii="仿宋" w:hAnsi="仿宋" w:eastAsia="仿宋"/>
              </w:rPr>
            </w:pPr>
          </w:p>
        </w:tc>
        <w:tc>
          <w:tcPr>
            <w:tcW w:w="1709" w:type="dxa"/>
            <w:tcBorders>
              <w:top w:val="single" w:color="auto" w:sz="4" w:space="0"/>
              <w:left w:val="single" w:color="auto" w:sz="4" w:space="0"/>
              <w:bottom w:val="single" w:color="000000" w:sz="2" w:space="0"/>
              <w:right w:val="single" w:color="000000" w:sz="2" w:space="0"/>
            </w:tcBorders>
          </w:tcPr>
          <w:p>
            <w:pPr>
              <w:jc w:val="left"/>
              <w:rPr>
                <w:rFonts w:ascii="仿宋" w:hAnsi="仿宋" w:eastAsia="仿宋"/>
              </w:rPr>
            </w:pPr>
          </w:p>
        </w:tc>
        <w:tc>
          <w:tcPr>
            <w:tcW w:w="1152" w:type="dxa"/>
            <w:tcBorders>
              <w:top w:val="single" w:color="auto" w:sz="4" w:space="0"/>
              <w:left w:val="single" w:color="auto" w:sz="4" w:space="0"/>
              <w:bottom w:val="single" w:color="000000" w:sz="2" w:space="0"/>
              <w:right w:val="single" w:color="000000" w:sz="2" w:space="0"/>
            </w:tcBorders>
          </w:tcPr>
          <w:p>
            <w:pPr>
              <w:jc w:val="center"/>
              <w:rPr>
                <w:rFonts w:ascii="仿宋" w:hAnsi="仿宋" w:eastAsia="仿宋"/>
              </w:rPr>
            </w:pPr>
          </w:p>
        </w:tc>
        <w:tc>
          <w:tcPr>
            <w:tcW w:w="3290" w:type="dxa"/>
            <w:gridSpan w:val="2"/>
            <w:tcBorders>
              <w:top w:val="single" w:color="auto" w:sz="4" w:space="0"/>
              <w:left w:val="single" w:color="auto" w:sz="4" w:space="0"/>
              <w:bottom w:val="single" w:color="000000" w:sz="2" w:space="0"/>
              <w:right w:val="single" w:color="000000" w:sz="2" w:space="0"/>
            </w:tcBorders>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trPr>
        <w:tc>
          <w:tcPr>
            <w:tcW w:w="1252" w:type="dxa"/>
            <w:tcBorders>
              <w:top w:val="single" w:color="auto" w:sz="4" w:space="0"/>
              <w:left w:val="single" w:color="000000" w:sz="2" w:space="0"/>
              <w:bottom w:val="single" w:color="000000" w:sz="2" w:space="0"/>
              <w:right w:val="single" w:color="000000" w:sz="2" w:space="0"/>
            </w:tcBorders>
          </w:tcPr>
          <w:p>
            <w:pPr>
              <w:jc w:val="center"/>
              <w:rPr>
                <w:rFonts w:ascii="仿宋" w:hAnsi="仿宋" w:eastAsia="仿宋"/>
              </w:rPr>
            </w:pPr>
            <w:r>
              <w:rPr>
                <w:rFonts w:hint="eastAsia" w:ascii="仿宋" w:hAnsi="仿宋" w:eastAsia="仿宋"/>
                <w:sz w:val="24"/>
              </w:rPr>
              <w:t>成交金额</w:t>
            </w:r>
          </w:p>
        </w:tc>
        <w:tc>
          <w:tcPr>
            <w:tcW w:w="6072" w:type="dxa"/>
            <w:gridSpan w:val="4"/>
            <w:tcBorders>
              <w:top w:val="single" w:color="auto" w:sz="4" w:space="0"/>
              <w:left w:val="single" w:color="auto" w:sz="4" w:space="0"/>
              <w:bottom w:val="single" w:color="000000" w:sz="2" w:space="0"/>
              <w:right w:val="single" w:color="000000" w:sz="2" w:space="0"/>
            </w:tcBorders>
          </w:tcPr>
          <w:p>
            <w:pPr>
              <w:jc w:val="left"/>
              <w:rPr>
                <w:rFonts w:ascii="仿宋" w:hAnsi="仿宋" w:eastAsia="仿宋"/>
              </w:rPr>
            </w:pPr>
            <w:r>
              <w:rPr>
                <w:rFonts w:hint="eastAsia" w:ascii="仿宋" w:hAnsi="仿宋" w:eastAsia="仿宋"/>
                <w:sz w:val="24"/>
              </w:rPr>
              <w:t xml:space="preserve">   佰   拾   万   仟   佰   拾   元   角   分  </w:t>
            </w:r>
          </w:p>
        </w:tc>
        <w:tc>
          <w:tcPr>
            <w:tcW w:w="1384" w:type="dxa"/>
            <w:tcBorders>
              <w:top w:val="single" w:color="auto" w:sz="4" w:space="0"/>
              <w:left w:val="single" w:color="auto" w:sz="4" w:space="0"/>
              <w:bottom w:val="single" w:color="000000" w:sz="2" w:space="0"/>
              <w:right w:val="single" w:color="000000" w:sz="2" w:space="0"/>
            </w:tcBorders>
          </w:tcPr>
          <w:p>
            <w:pPr>
              <w:jc w:val="left"/>
              <w:rPr>
                <w:rFonts w:ascii="仿宋" w:hAnsi="仿宋" w:eastAsia="仿宋"/>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3" w:hRule="atLeast"/>
        </w:trPr>
        <w:tc>
          <w:tcPr>
            <w:tcW w:w="1252" w:type="dxa"/>
            <w:tcBorders>
              <w:top w:val="single" w:color="auto" w:sz="4" w:space="0"/>
              <w:left w:val="single" w:color="000000" w:sz="2" w:space="0"/>
              <w:bottom w:val="single" w:color="000000" w:sz="2" w:space="0"/>
              <w:right w:val="single" w:color="000000" w:sz="2" w:space="0"/>
            </w:tcBorders>
          </w:tcPr>
          <w:p>
            <w:pPr>
              <w:jc w:val="center"/>
              <w:rPr>
                <w:rFonts w:ascii="仿宋" w:hAnsi="仿宋" w:eastAsia="仿宋"/>
              </w:rPr>
            </w:pPr>
            <w:r>
              <w:rPr>
                <w:rFonts w:hint="eastAsia" w:ascii="仿宋" w:hAnsi="仿宋" w:eastAsia="仿宋"/>
                <w:sz w:val="24"/>
              </w:rPr>
              <w:t>成交手续费</w:t>
            </w:r>
          </w:p>
        </w:tc>
        <w:tc>
          <w:tcPr>
            <w:tcW w:w="6072" w:type="dxa"/>
            <w:gridSpan w:val="4"/>
            <w:tcBorders>
              <w:top w:val="single" w:color="auto" w:sz="4" w:space="0"/>
              <w:left w:val="single" w:color="auto" w:sz="4" w:space="0"/>
              <w:bottom w:val="single" w:color="000000" w:sz="2" w:space="0"/>
              <w:right w:val="single" w:color="000000" w:sz="2" w:space="0"/>
            </w:tcBorders>
          </w:tcPr>
          <w:p>
            <w:pPr>
              <w:jc w:val="left"/>
              <w:rPr>
                <w:rFonts w:ascii="仿宋" w:hAnsi="仿宋" w:eastAsia="仿宋"/>
              </w:rPr>
            </w:pPr>
          </w:p>
        </w:tc>
        <w:tc>
          <w:tcPr>
            <w:tcW w:w="1384" w:type="dxa"/>
            <w:tcBorders>
              <w:top w:val="single" w:color="auto" w:sz="4" w:space="0"/>
              <w:left w:val="single" w:color="auto" w:sz="4" w:space="0"/>
              <w:bottom w:val="single" w:color="000000" w:sz="2" w:space="0"/>
              <w:right w:val="single" w:color="000000" w:sz="2" w:space="0"/>
            </w:tcBorders>
          </w:tcPr>
          <w:p>
            <w:pPr>
              <w:jc w:val="left"/>
              <w:rPr>
                <w:rFonts w:ascii="仿宋" w:hAnsi="仿宋" w:eastAsia="仿宋"/>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252" w:type="dxa"/>
            <w:tcBorders>
              <w:top w:val="single" w:color="auto" w:sz="4" w:space="0"/>
              <w:left w:val="single" w:color="000000" w:sz="2" w:space="0"/>
              <w:bottom w:val="single" w:color="000000" w:sz="2" w:space="0"/>
              <w:right w:val="single" w:color="000000" w:sz="2" w:space="0"/>
            </w:tcBorders>
          </w:tcPr>
          <w:p>
            <w:pPr>
              <w:jc w:val="center"/>
              <w:rPr>
                <w:rFonts w:ascii="仿宋" w:hAnsi="仿宋" w:eastAsia="仿宋"/>
              </w:rPr>
            </w:pPr>
            <w:r>
              <w:rPr>
                <w:rFonts w:hint="eastAsia" w:ascii="仿宋" w:hAnsi="仿宋" w:eastAsia="仿宋"/>
                <w:sz w:val="24"/>
              </w:rPr>
              <w:t>合计</w:t>
            </w:r>
          </w:p>
        </w:tc>
        <w:tc>
          <w:tcPr>
            <w:tcW w:w="6072" w:type="dxa"/>
            <w:gridSpan w:val="4"/>
            <w:tcBorders>
              <w:top w:val="single" w:color="auto" w:sz="4" w:space="0"/>
              <w:left w:val="single" w:color="auto" w:sz="4" w:space="0"/>
              <w:bottom w:val="single" w:color="000000" w:sz="2" w:space="0"/>
              <w:right w:val="single" w:color="000000" w:sz="2" w:space="0"/>
            </w:tcBorders>
          </w:tcPr>
          <w:p>
            <w:pPr>
              <w:jc w:val="left"/>
              <w:rPr>
                <w:rFonts w:ascii="仿宋" w:hAnsi="仿宋" w:eastAsia="仿宋"/>
              </w:rPr>
            </w:pPr>
          </w:p>
        </w:tc>
        <w:tc>
          <w:tcPr>
            <w:tcW w:w="1384" w:type="dxa"/>
            <w:tcBorders>
              <w:top w:val="single" w:color="auto" w:sz="4" w:space="0"/>
              <w:left w:val="single" w:color="auto" w:sz="4" w:space="0"/>
              <w:bottom w:val="single" w:color="000000" w:sz="2" w:space="0"/>
              <w:right w:val="single" w:color="000000" w:sz="2" w:space="0"/>
            </w:tcBorders>
          </w:tcPr>
          <w:p>
            <w:pPr>
              <w:jc w:val="left"/>
              <w:rPr>
                <w:rFonts w:ascii="仿宋" w:hAnsi="仿宋" w:eastAsia="仿宋"/>
              </w:rPr>
            </w:pPr>
            <w:r>
              <w:rPr>
                <w:rFonts w:hint="eastAsia" w:ascii="仿宋" w:hAnsi="仿宋" w:eastAsia="仿宋"/>
                <w:sz w:val="24"/>
              </w:rPr>
              <w:t>￥</w:t>
            </w:r>
          </w:p>
        </w:tc>
      </w:tr>
    </w:tbl>
    <w:p>
      <w:pPr>
        <w:numPr>
          <w:ilvl w:val="0"/>
          <w:numId w:val="1"/>
        </w:numPr>
        <w:tabs>
          <w:tab w:val="left" w:pos="105"/>
          <w:tab w:val="left" w:pos="735"/>
          <w:tab w:val="left" w:pos="885"/>
        </w:tabs>
        <w:spacing w:line="500" w:lineRule="exact"/>
        <w:ind w:left="0" w:firstLine="540"/>
        <w:rPr>
          <w:rFonts w:ascii="仿宋" w:hAnsi="仿宋" w:eastAsia="仿宋"/>
          <w:sz w:val="24"/>
        </w:rPr>
      </w:pPr>
      <w:r>
        <w:rPr>
          <w:rFonts w:hint="eastAsia" w:ascii="仿宋" w:hAnsi="仿宋" w:eastAsia="仿宋"/>
          <w:sz w:val="24"/>
        </w:rPr>
        <w:t>中标人已认真阅读本次交易会的《交易规则》和有关规定，自愿遵守执行，承认竞价交易结果，当场签署本确认书。</w:t>
      </w:r>
    </w:p>
    <w:p>
      <w:pPr>
        <w:numPr>
          <w:ilvl w:val="0"/>
          <w:numId w:val="1"/>
        </w:numPr>
        <w:tabs>
          <w:tab w:val="left" w:pos="105"/>
          <w:tab w:val="left" w:pos="735"/>
          <w:tab w:val="left" w:pos="885"/>
        </w:tabs>
        <w:spacing w:line="500" w:lineRule="exact"/>
        <w:ind w:left="0" w:firstLine="540"/>
        <w:rPr>
          <w:rFonts w:ascii="仿宋" w:hAnsi="仿宋" w:eastAsia="仿宋"/>
          <w:sz w:val="24"/>
        </w:rPr>
      </w:pPr>
      <w:r>
        <w:rPr>
          <w:rFonts w:hint="eastAsia" w:ascii="仿宋" w:hAnsi="仿宋" w:eastAsia="仿宋"/>
          <w:sz w:val="24"/>
        </w:rPr>
        <w:t>中标人应于2017年9月22日前与委托方签订《采购合同》。</w:t>
      </w:r>
    </w:p>
    <w:p>
      <w:pPr>
        <w:numPr>
          <w:ilvl w:val="0"/>
          <w:numId w:val="1"/>
        </w:numPr>
        <w:tabs>
          <w:tab w:val="left" w:pos="105"/>
          <w:tab w:val="left" w:pos="735"/>
          <w:tab w:val="left" w:pos="885"/>
        </w:tabs>
        <w:spacing w:line="500" w:lineRule="exact"/>
        <w:ind w:left="0" w:firstLine="540"/>
        <w:rPr>
          <w:rFonts w:ascii="仿宋" w:hAnsi="仿宋" w:eastAsia="仿宋"/>
          <w:sz w:val="24"/>
        </w:rPr>
      </w:pPr>
      <w:r>
        <w:rPr>
          <w:rFonts w:hint="eastAsia" w:ascii="仿宋" w:hAnsi="仿宋" w:eastAsia="仿宋"/>
          <w:sz w:val="24"/>
        </w:rPr>
        <w:t>本确认书签章后生效。一式叁份，中标人、竞价交易主持机构、委托方各执壹份。</w:t>
      </w:r>
    </w:p>
    <w:p>
      <w:pPr>
        <w:widowControl w:val="0"/>
        <w:snapToGrid w:val="0"/>
        <w:spacing w:line="272" w:lineRule="atLeast"/>
        <w:rPr>
          <w:rFonts w:ascii="仿宋" w:hAnsi="仿宋" w:eastAsia="仿宋"/>
        </w:rPr>
      </w:pPr>
    </w:p>
    <w:p>
      <w:pPr>
        <w:widowControl w:val="0"/>
        <w:snapToGrid w:val="0"/>
        <w:spacing w:line="311" w:lineRule="atLeast"/>
        <w:rPr>
          <w:rFonts w:ascii="仿宋" w:hAnsi="仿宋" w:eastAsia="仿宋"/>
          <w:sz w:val="24"/>
        </w:rPr>
      </w:pPr>
      <w:r>
        <w:rPr>
          <w:rFonts w:hint="eastAsia" w:ascii="仿宋" w:hAnsi="仿宋" w:eastAsia="仿宋"/>
          <w:sz w:val="24"/>
        </w:rPr>
        <w:t xml:space="preserve">     中标人（签字）：                    竞价交易师（签字）：     </w:t>
      </w:r>
    </w:p>
    <w:p>
      <w:pPr>
        <w:widowControl w:val="0"/>
        <w:snapToGrid w:val="0"/>
        <w:spacing w:line="311" w:lineRule="atLeast"/>
        <w:rPr>
          <w:rFonts w:ascii="仿宋" w:hAnsi="仿宋" w:eastAsia="仿宋"/>
          <w:sz w:val="24"/>
        </w:rPr>
      </w:pPr>
    </w:p>
    <w:p>
      <w:pPr>
        <w:tabs>
          <w:tab w:val="left" w:pos="7035"/>
        </w:tabs>
        <w:spacing w:line="500" w:lineRule="exact"/>
        <w:rPr>
          <w:rFonts w:ascii="宋体" w:hAnsi="宋体"/>
          <w:b/>
          <w:sz w:val="32"/>
          <w:szCs w:val="32"/>
        </w:rPr>
      </w:pPr>
      <w:r>
        <w:rPr>
          <w:rFonts w:hint="eastAsia" w:ascii="仿宋" w:hAnsi="仿宋" w:eastAsia="仿宋"/>
          <w:sz w:val="24"/>
        </w:rPr>
        <w:t xml:space="preserve">     2017年9月19日                     2017年9月19日  </w:t>
      </w:r>
    </w:p>
    <w:p>
      <w:pPr>
        <w:spacing w:line="400" w:lineRule="exact"/>
        <w:rPr>
          <w:rFonts w:ascii="宋体" w:hAnsi="宋体"/>
          <w:b/>
          <w:sz w:val="32"/>
          <w:szCs w:val="32"/>
        </w:rPr>
      </w:pPr>
    </w:p>
    <w:p>
      <w:pPr>
        <w:spacing w:line="340" w:lineRule="exact"/>
        <w:jc w:val="left"/>
        <w:rPr>
          <w:rFonts w:ascii="仿宋_GB2312" w:hAnsi="宋体" w:eastAsia="仿宋_GB2312"/>
          <w:b/>
          <w:spacing w:val="-26"/>
          <w:sz w:val="30"/>
          <w:szCs w:val="30"/>
        </w:rPr>
      </w:pPr>
      <w:r>
        <w:rPr>
          <w:rFonts w:hint="eastAsia" w:ascii="仿宋_GB2312" w:hAnsi="宋体" w:eastAsia="仿宋_GB2312"/>
          <w:b/>
          <w:spacing w:val="-26"/>
          <w:sz w:val="30"/>
          <w:szCs w:val="30"/>
        </w:rPr>
        <w:t>（样本）</w:t>
      </w:r>
    </w:p>
    <w:p>
      <w:pPr>
        <w:spacing w:line="520" w:lineRule="exact"/>
        <w:jc w:val="center"/>
        <w:rPr>
          <w:rFonts w:ascii="仿宋_GB2312" w:hAnsi="宋体" w:eastAsia="仿宋_GB2312"/>
          <w:b/>
          <w:spacing w:val="-26"/>
          <w:sz w:val="44"/>
        </w:rPr>
      </w:pPr>
      <w:r>
        <w:rPr>
          <w:rFonts w:hint="eastAsia" w:ascii="仿宋_GB2312" w:hAnsi="宋体" w:eastAsia="仿宋_GB2312"/>
          <w:b/>
          <w:spacing w:val="-26"/>
          <w:sz w:val="44"/>
        </w:rPr>
        <w:t>2017年莆田市专项储备粮（稻谷）采购合同</w:t>
      </w:r>
    </w:p>
    <w:p>
      <w:pPr>
        <w:spacing w:line="320" w:lineRule="exact"/>
        <w:rPr>
          <w:rFonts w:ascii="仿宋_GB2312" w:hAnsi="宋体" w:eastAsia="仿宋_GB2312"/>
        </w:rPr>
      </w:pPr>
    </w:p>
    <w:p>
      <w:pPr>
        <w:spacing w:line="320" w:lineRule="exact"/>
        <w:rPr>
          <w:rFonts w:ascii="仿宋_GB2312" w:hAnsi="宋体" w:eastAsia="仿宋_GB2312"/>
          <w:b/>
          <w:spacing w:val="-26"/>
          <w:sz w:val="44"/>
        </w:rPr>
      </w:pPr>
      <w:r>
        <w:rPr>
          <w:rFonts w:hint="eastAsia" w:ascii="仿宋_GB2312" w:hAnsi="宋体" w:eastAsia="仿宋_GB2312"/>
        </w:rPr>
        <w:t>需方：                                                       合同编号：</w:t>
      </w:r>
    </w:p>
    <w:p>
      <w:pPr>
        <w:spacing w:line="320" w:lineRule="exact"/>
        <w:rPr>
          <w:rFonts w:ascii="仿宋_GB2312" w:hAnsi="宋体" w:eastAsia="仿宋_GB2312"/>
        </w:rPr>
      </w:pPr>
      <w:r>
        <w:rPr>
          <w:rFonts w:hint="eastAsia" w:ascii="仿宋_GB2312" w:hAnsi="宋体" w:eastAsia="仿宋_GB2312"/>
        </w:rPr>
        <w:t xml:space="preserve">供方：                             </w:t>
      </w:r>
      <w:r>
        <w:rPr>
          <w:rFonts w:hint="eastAsia" w:ascii="仿宋_GB2312" w:hAnsi="宋体" w:eastAsia="仿宋_GB2312"/>
        </w:rPr>
        <w:tab/>
      </w:r>
      <w:r>
        <w:rPr>
          <w:rFonts w:hint="eastAsia" w:ascii="仿宋_GB2312" w:hAnsi="宋体" w:eastAsia="仿宋_GB2312"/>
        </w:rPr>
        <w:t xml:space="preserve">                         签订地点： </w:t>
      </w:r>
    </w:p>
    <w:p>
      <w:pPr>
        <w:spacing w:line="320" w:lineRule="exact"/>
        <w:ind w:firstLine="420" w:firstLineChars="200"/>
        <w:rPr>
          <w:rFonts w:ascii="仿宋_GB2312" w:hAnsi="宋体" w:eastAsia="仿宋_GB2312"/>
        </w:rPr>
      </w:pPr>
      <w:r>
        <w:rPr>
          <w:rFonts w:hint="eastAsia" w:ascii="仿宋_GB2312" w:hAnsi="宋体" w:eastAsia="仿宋_GB2312"/>
        </w:rPr>
        <w:t>供、需双方本着遵守中华人民共和国有关法律和法规的原则，依据号《成交确认书》，就莆田市专项储备粮竞价采购事宜签订如下合同：</w:t>
      </w:r>
    </w:p>
    <w:p>
      <w:pPr>
        <w:spacing w:line="320" w:lineRule="exact"/>
        <w:ind w:firstLine="422" w:firstLineChars="200"/>
        <w:rPr>
          <w:rFonts w:ascii="仿宋_GB2312" w:hAnsi="宋体" w:eastAsia="仿宋_GB2312"/>
          <w:b/>
        </w:rPr>
      </w:pPr>
      <w:r>
        <w:rPr>
          <w:rFonts w:hint="eastAsia" w:ascii="仿宋_GB2312" w:hAnsi="宋体" w:eastAsia="仿宋_GB2312"/>
          <w:b/>
        </w:rPr>
        <w:t>一、标的生产年限、品种、数量、单价、金额：</w:t>
      </w:r>
    </w:p>
    <w:tbl>
      <w:tblPr>
        <w:tblStyle w:val="10"/>
        <w:tblW w:w="8679" w:type="dxa"/>
        <w:tblInd w:w="-1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606"/>
        <w:gridCol w:w="970"/>
        <w:gridCol w:w="2119"/>
        <w:gridCol w:w="1601"/>
        <w:gridCol w:w="23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cantSplit/>
          <w:trHeight w:val="439" w:hRule="atLeast"/>
        </w:trPr>
        <w:tc>
          <w:tcPr>
            <w:tcW w:w="1606"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宋体" w:eastAsia="仿宋_GB2312"/>
              </w:rPr>
            </w:pPr>
            <w:r>
              <w:rPr>
                <w:rFonts w:hint="eastAsia" w:ascii="仿宋_GB2312" w:hAnsi="宋体" w:eastAsia="仿宋_GB2312"/>
              </w:rPr>
              <w:t>生产年限</w:t>
            </w:r>
          </w:p>
        </w:tc>
        <w:tc>
          <w:tcPr>
            <w:tcW w:w="9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宋体" w:eastAsia="仿宋_GB2312"/>
              </w:rPr>
            </w:pPr>
            <w:r>
              <w:rPr>
                <w:rFonts w:hint="eastAsia" w:ascii="仿宋_GB2312" w:hAnsi="宋体" w:eastAsia="仿宋_GB2312"/>
              </w:rPr>
              <w:t>品种</w:t>
            </w:r>
          </w:p>
        </w:tc>
        <w:tc>
          <w:tcPr>
            <w:tcW w:w="2119"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宋体" w:eastAsia="仿宋_GB2312"/>
              </w:rPr>
            </w:pPr>
            <w:r>
              <w:rPr>
                <w:rFonts w:hint="eastAsia" w:ascii="仿宋_GB2312" w:hAnsi="宋体" w:eastAsia="仿宋_GB2312"/>
              </w:rPr>
              <w:t>数量(公斤)</w:t>
            </w:r>
          </w:p>
        </w:tc>
        <w:tc>
          <w:tcPr>
            <w:tcW w:w="1601"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宋体" w:eastAsia="仿宋_GB2312"/>
              </w:rPr>
            </w:pPr>
            <w:r>
              <w:rPr>
                <w:rFonts w:hint="eastAsia" w:ascii="仿宋_GB2312" w:hAnsi="宋体" w:eastAsia="仿宋_GB2312"/>
              </w:rPr>
              <w:t>单价(元/公斤)</w:t>
            </w:r>
          </w:p>
        </w:tc>
        <w:tc>
          <w:tcPr>
            <w:tcW w:w="2383"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宋体" w:eastAsia="仿宋_GB2312"/>
              </w:rPr>
            </w:pPr>
            <w:r>
              <w:rPr>
                <w:rFonts w:hint="eastAsia" w:ascii="仿宋_GB2312" w:hAnsi="宋体" w:eastAsia="仿宋_GB2312"/>
              </w:rPr>
              <w:t>金额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405" w:hRule="atLeast"/>
        </w:trPr>
        <w:tc>
          <w:tcPr>
            <w:tcW w:w="1606"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宋体" w:eastAsia="仿宋_GB2312"/>
              </w:rPr>
            </w:pPr>
          </w:p>
        </w:tc>
        <w:tc>
          <w:tcPr>
            <w:tcW w:w="9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宋体" w:eastAsia="仿宋_GB2312"/>
              </w:rPr>
            </w:pPr>
            <w:r>
              <w:rPr>
                <w:rFonts w:hint="eastAsia" w:ascii="仿宋_GB2312" w:hAnsi="宋体" w:eastAsia="仿宋_GB2312"/>
              </w:rPr>
              <w:t>　</w:t>
            </w:r>
          </w:p>
        </w:tc>
        <w:tc>
          <w:tcPr>
            <w:tcW w:w="2119"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宋体" w:eastAsia="仿宋_GB2312"/>
              </w:rPr>
            </w:pPr>
          </w:p>
        </w:tc>
        <w:tc>
          <w:tcPr>
            <w:tcW w:w="1601" w:type="dxa"/>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_GB2312" w:hAnsi="宋体" w:eastAsia="仿宋_GB2312"/>
              </w:rPr>
            </w:pPr>
          </w:p>
        </w:tc>
        <w:tc>
          <w:tcPr>
            <w:tcW w:w="2383"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宋体"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39" w:hRule="atLeast"/>
        </w:trPr>
        <w:tc>
          <w:tcPr>
            <w:tcW w:w="1606" w:type="dxa"/>
            <w:tcBorders>
              <w:top w:val="single" w:color="auto" w:sz="8" w:space="0"/>
              <w:left w:val="single" w:color="auto" w:sz="8" w:space="0"/>
              <w:bottom w:val="single" w:color="auto" w:sz="8" w:space="0"/>
              <w:right w:val="single" w:color="auto" w:sz="8" w:space="0"/>
            </w:tcBorders>
            <w:vAlign w:val="center"/>
          </w:tcPr>
          <w:p>
            <w:pPr>
              <w:spacing w:line="320" w:lineRule="exact"/>
              <w:jc w:val="left"/>
              <w:rPr>
                <w:rFonts w:ascii="仿宋_GB2312" w:hAnsi="宋体" w:eastAsia="仿宋_GB2312"/>
              </w:rPr>
            </w:pPr>
            <w:r>
              <w:rPr>
                <w:rFonts w:hint="eastAsia" w:ascii="仿宋_GB2312" w:hAnsi="宋体" w:eastAsia="仿宋_GB2312"/>
              </w:rPr>
              <w:t xml:space="preserve">  合计(大写)</w:t>
            </w:r>
          </w:p>
        </w:tc>
        <w:tc>
          <w:tcPr>
            <w:tcW w:w="7073" w:type="dxa"/>
            <w:gridSpan w:val="4"/>
            <w:tcBorders>
              <w:top w:val="single" w:color="auto" w:sz="8" w:space="0"/>
              <w:left w:val="single" w:color="auto" w:sz="8" w:space="0"/>
              <w:bottom w:val="single" w:color="auto" w:sz="8" w:space="0"/>
              <w:right w:val="single" w:color="auto" w:sz="8" w:space="0"/>
            </w:tcBorders>
            <w:vAlign w:val="center"/>
          </w:tcPr>
          <w:p>
            <w:pPr>
              <w:spacing w:line="320" w:lineRule="exact"/>
              <w:ind w:firstLine="735" w:firstLineChars="350"/>
              <w:rPr>
                <w:rFonts w:ascii="仿宋_GB2312" w:hAnsi="宋体" w:eastAsia="仿宋_GB2312"/>
              </w:rPr>
            </w:pPr>
            <w:r>
              <w:rPr>
                <w:rFonts w:hint="eastAsia" w:ascii="仿宋_GB2312" w:hAnsi="宋体" w:eastAsia="仿宋_GB2312"/>
              </w:rPr>
              <w:t xml:space="preserve"> 仟    佰   拾   万   仟   佰   拾   元    角    分</w:t>
            </w:r>
          </w:p>
        </w:tc>
      </w:tr>
    </w:tbl>
    <w:p>
      <w:pPr>
        <w:spacing w:line="320" w:lineRule="exact"/>
        <w:ind w:firstLine="420" w:firstLineChars="200"/>
        <w:rPr>
          <w:rFonts w:ascii="仿宋_GB2312" w:hAnsi="宋体" w:eastAsia="仿宋_GB2312"/>
        </w:rPr>
      </w:pPr>
      <w:r>
        <w:rPr>
          <w:rFonts w:hint="eastAsia" w:ascii="仿宋_GB2312" w:hAnsi="宋体" w:eastAsia="仿宋_GB2312"/>
        </w:rPr>
        <w:t>注：上表单价为供方货到需方</w:t>
      </w:r>
      <w:r>
        <w:rPr>
          <w:rFonts w:hint="eastAsia" w:ascii="仿宋_GB2312" w:eastAsia="仿宋_GB2312"/>
        </w:rPr>
        <w:t>仓内</w:t>
      </w:r>
      <w:r>
        <w:rPr>
          <w:rFonts w:hint="eastAsia" w:ascii="仿宋_GB2312" w:hAnsi="宋体" w:eastAsia="仿宋_GB2312"/>
          <w:spacing w:val="-14"/>
        </w:rPr>
        <w:t>含麻袋堆叠完毕或散装入库完毕单价</w:t>
      </w:r>
      <w:r>
        <w:rPr>
          <w:rFonts w:hint="eastAsia" w:ascii="仿宋_GB2312" w:hAnsi="宋体" w:eastAsia="仿宋_GB2312"/>
          <w:szCs w:val="21"/>
        </w:rPr>
        <w:t>(若是散装的要做好踏粮走道)</w:t>
      </w:r>
      <w:r>
        <w:rPr>
          <w:rFonts w:hint="eastAsia" w:ascii="仿宋_GB2312" w:hAnsi="宋体" w:eastAsia="仿宋_GB2312"/>
          <w:spacing w:val="-14"/>
        </w:rPr>
        <w:t>。</w:t>
      </w:r>
    </w:p>
    <w:p>
      <w:pPr>
        <w:spacing w:line="320" w:lineRule="exact"/>
        <w:ind w:firstLine="422" w:firstLineChars="200"/>
        <w:rPr>
          <w:rFonts w:ascii="仿宋_GB2312" w:hAnsi="宋体" w:eastAsia="仿宋_GB2312"/>
          <w:b/>
          <w:color w:val="FF9900"/>
        </w:rPr>
      </w:pPr>
      <w:r>
        <w:rPr>
          <w:rFonts w:hint="eastAsia" w:ascii="仿宋_GB2312" w:hAnsi="宋体" w:eastAsia="仿宋_GB2312"/>
          <w:b/>
        </w:rPr>
        <w:t>二、标的品质、质量标准、卫生、食品安全标准：</w:t>
      </w:r>
    </w:p>
    <w:p>
      <w:pPr>
        <w:spacing w:line="320" w:lineRule="exact"/>
        <w:ind w:firstLine="420" w:firstLineChars="200"/>
        <w:rPr>
          <w:rFonts w:ascii="仿宋_GB2312" w:hAnsi="宋体" w:eastAsia="仿宋_GB2312"/>
        </w:rPr>
      </w:pPr>
      <w:r>
        <w:rPr>
          <w:rFonts w:hint="eastAsia" w:ascii="仿宋_GB2312" w:hAnsi="宋体" w:eastAsia="仿宋_GB2312"/>
          <w:color w:val="auto"/>
        </w:rPr>
        <w:t>稻谷等级必须为三</w:t>
      </w:r>
      <w:r>
        <w:rPr>
          <w:rFonts w:hint="eastAsia" w:ascii="仿宋_GB2312" w:hAnsi="宋体" w:eastAsia="仿宋_GB2312"/>
        </w:rPr>
        <w:t>等（含三等</w:t>
      </w:r>
      <w:r>
        <w:rPr>
          <w:rFonts w:hint="eastAsia" w:ascii="仿宋_GB2312" w:hAnsi="宋体" w:eastAsia="仿宋_GB2312"/>
          <w:color w:val="auto"/>
        </w:rPr>
        <w:t>）以上，</w:t>
      </w:r>
      <w:r>
        <w:rPr>
          <w:rFonts w:hint="eastAsia" w:ascii="仿宋_GB2312" w:hAnsi="宋体" w:eastAsia="仿宋_GB2312"/>
        </w:rPr>
        <w:t>品质指标必须符合国标GB/T20569-2006中“宜存”标准,质量指标必须符合国标GB1350-2009三等（含三等）以上，且符合国标GB2715－20</w:t>
      </w:r>
      <w:r>
        <w:rPr>
          <w:rFonts w:hint="eastAsia" w:ascii="仿宋_GB2312" w:hAnsi="宋体" w:eastAsia="仿宋_GB2312"/>
          <w:color w:val="auto"/>
        </w:rPr>
        <w:t>16食品安全国家标准（粮食</w:t>
      </w:r>
      <w:r>
        <w:rPr>
          <w:rFonts w:hint="eastAsia" w:ascii="仿宋_GB2312" w:hAnsi="宋体" w:eastAsia="仿宋_GB2312"/>
        </w:rPr>
        <w:t>）。主要指标见下表：</w:t>
      </w:r>
    </w:p>
    <w:tbl>
      <w:tblPr>
        <w:tblStyle w:val="10"/>
        <w:tblW w:w="8568" w:type="dxa"/>
        <w:tblInd w:w="0" w:type="dxa"/>
        <w:tblLayout w:type="fixed"/>
        <w:tblCellMar>
          <w:top w:w="0" w:type="dxa"/>
          <w:left w:w="108" w:type="dxa"/>
          <w:bottom w:w="0" w:type="dxa"/>
          <w:right w:w="108" w:type="dxa"/>
        </w:tblCellMar>
      </w:tblPr>
      <w:tblGrid>
        <w:gridCol w:w="1060"/>
        <w:gridCol w:w="1060"/>
        <w:gridCol w:w="1249"/>
        <w:gridCol w:w="879"/>
        <w:gridCol w:w="1161"/>
        <w:gridCol w:w="1020"/>
        <w:gridCol w:w="1050"/>
        <w:gridCol w:w="1089"/>
      </w:tblGrid>
      <w:tr>
        <w:tblPrEx>
          <w:tblLayout w:type="fixed"/>
          <w:tblCellMar>
            <w:top w:w="0" w:type="dxa"/>
            <w:left w:w="108" w:type="dxa"/>
            <w:bottom w:w="0" w:type="dxa"/>
            <w:right w:w="108" w:type="dxa"/>
          </w:tblCellMar>
        </w:tblPrEx>
        <w:trPr>
          <w:trHeight w:val="588" w:hRule="atLeast"/>
        </w:trPr>
        <w:tc>
          <w:tcPr>
            <w:tcW w:w="10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品种</w:t>
            </w:r>
          </w:p>
        </w:tc>
        <w:tc>
          <w:tcPr>
            <w:tcW w:w="1060"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出糙率％</w:t>
            </w:r>
          </w:p>
        </w:tc>
        <w:tc>
          <w:tcPr>
            <w:tcW w:w="1249"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整精米率％</w:t>
            </w:r>
          </w:p>
        </w:tc>
        <w:tc>
          <w:tcPr>
            <w:tcW w:w="879"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水分％</w:t>
            </w:r>
          </w:p>
        </w:tc>
        <w:tc>
          <w:tcPr>
            <w:tcW w:w="1161"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色泽气味</w:t>
            </w:r>
          </w:p>
        </w:tc>
        <w:tc>
          <w:tcPr>
            <w:tcW w:w="1020"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谷外糙米％</w:t>
            </w:r>
          </w:p>
        </w:tc>
        <w:tc>
          <w:tcPr>
            <w:tcW w:w="1050"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杂质％</w:t>
            </w:r>
          </w:p>
        </w:tc>
        <w:tc>
          <w:tcPr>
            <w:tcW w:w="1089"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害虫</w:t>
            </w:r>
          </w:p>
        </w:tc>
      </w:tr>
      <w:tr>
        <w:tblPrEx>
          <w:tblLayout w:type="fixed"/>
          <w:tblCellMar>
            <w:top w:w="0" w:type="dxa"/>
            <w:left w:w="108" w:type="dxa"/>
            <w:bottom w:w="0" w:type="dxa"/>
            <w:right w:w="108" w:type="dxa"/>
          </w:tblCellMar>
        </w:tblPrEx>
        <w:trPr>
          <w:trHeight w:val="931" w:hRule="atLeast"/>
        </w:trPr>
        <w:tc>
          <w:tcPr>
            <w:tcW w:w="1060" w:type="dxa"/>
            <w:vMerge w:val="restart"/>
            <w:tcBorders>
              <w:top w:val="nil"/>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2017年度生产</w:t>
            </w:r>
          </w:p>
          <w:p>
            <w:pPr>
              <w:spacing w:line="320" w:lineRule="exact"/>
              <w:jc w:val="center"/>
              <w:rPr>
                <w:rFonts w:ascii="仿宋_GB2312" w:hAnsi="宋体" w:eastAsia="仿宋_GB2312"/>
              </w:rPr>
            </w:pPr>
            <w:r>
              <w:rPr>
                <w:rFonts w:hint="eastAsia" w:ascii="仿宋_GB2312" w:hAnsi="宋体" w:eastAsia="仿宋_GB2312"/>
              </w:rPr>
              <w:t>稻谷</w:t>
            </w:r>
          </w:p>
        </w:tc>
        <w:tc>
          <w:tcPr>
            <w:tcW w:w="1060" w:type="dxa"/>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≥75.0</w:t>
            </w:r>
          </w:p>
        </w:tc>
        <w:tc>
          <w:tcPr>
            <w:tcW w:w="1249" w:type="dxa"/>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≥44.0</w:t>
            </w:r>
          </w:p>
        </w:tc>
        <w:tc>
          <w:tcPr>
            <w:tcW w:w="879" w:type="dxa"/>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≤13.5</w:t>
            </w:r>
          </w:p>
        </w:tc>
        <w:tc>
          <w:tcPr>
            <w:tcW w:w="1161" w:type="dxa"/>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正常</w:t>
            </w:r>
          </w:p>
        </w:tc>
        <w:tc>
          <w:tcPr>
            <w:tcW w:w="1020" w:type="dxa"/>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≤2.0</w:t>
            </w:r>
          </w:p>
        </w:tc>
        <w:tc>
          <w:tcPr>
            <w:tcW w:w="1050" w:type="dxa"/>
            <w:tcBorders>
              <w:top w:val="nil"/>
              <w:left w:val="nil"/>
              <w:bottom w:val="single" w:color="auto" w:sz="4" w:space="0"/>
              <w:right w:val="single" w:color="auto" w:sz="4" w:space="0"/>
            </w:tcBorders>
            <w:vAlign w:val="center"/>
          </w:tcPr>
          <w:p>
            <w:pPr>
              <w:spacing w:line="320" w:lineRule="exact"/>
              <w:ind w:firstLine="105" w:firstLineChars="50"/>
              <w:jc w:val="left"/>
              <w:rPr>
                <w:rFonts w:ascii="仿宋_GB2312" w:hAnsi="宋体" w:eastAsia="仿宋_GB2312"/>
              </w:rPr>
            </w:pPr>
            <w:r>
              <w:rPr>
                <w:rFonts w:hint="eastAsia" w:ascii="仿宋_GB2312" w:hAnsi="宋体" w:eastAsia="仿宋_GB2312"/>
              </w:rPr>
              <w:t>≤1.0</w:t>
            </w:r>
          </w:p>
        </w:tc>
        <w:tc>
          <w:tcPr>
            <w:tcW w:w="1089" w:type="dxa"/>
            <w:tcBorders>
              <w:top w:val="nil"/>
              <w:left w:val="nil"/>
              <w:bottom w:val="single" w:color="auto" w:sz="4" w:space="0"/>
              <w:right w:val="single" w:color="auto" w:sz="4" w:space="0"/>
            </w:tcBorders>
            <w:vAlign w:val="center"/>
          </w:tcPr>
          <w:p>
            <w:pPr>
              <w:spacing w:line="320" w:lineRule="exact"/>
              <w:jc w:val="left"/>
              <w:rPr>
                <w:rFonts w:ascii="仿宋_GB2312" w:hAnsi="宋体" w:eastAsia="仿宋_GB2312"/>
                <w:sz w:val="20"/>
              </w:rPr>
            </w:pPr>
            <w:r>
              <w:rPr>
                <w:rFonts w:hint="eastAsia" w:ascii="仿宋_GB2312" w:hAnsi="宋体" w:eastAsia="仿宋_GB2312"/>
                <w:sz w:val="20"/>
              </w:rPr>
              <w:t xml:space="preserve">每公斤≤5头,其中主要害虫每公斤≤2头  </w:t>
            </w:r>
          </w:p>
        </w:tc>
      </w:tr>
      <w:tr>
        <w:tblPrEx>
          <w:tblLayout w:type="fixed"/>
          <w:tblCellMar>
            <w:top w:w="0" w:type="dxa"/>
            <w:left w:w="108" w:type="dxa"/>
            <w:bottom w:w="0" w:type="dxa"/>
            <w:right w:w="108" w:type="dxa"/>
          </w:tblCellMar>
        </w:tblPrEx>
        <w:trPr>
          <w:trHeight w:val="832" w:hRule="atLeast"/>
        </w:trPr>
        <w:tc>
          <w:tcPr>
            <w:tcW w:w="1060" w:type="dxa"/>
            <w:vMerge w:val="continue"/>
            <w:tcBorders>
              <w:left w:val="single" w:color="auto" w:sz="4" w:space="0"/>
              <w:right w:val="single" w:color="auto" w:sz="4" w:space="0"/>
            </w:tcBorders>
            <w:vAlign w:val="center"/>
          </w:tcPr>
          <w:p>
            <w:pPr>
              <w:spacing w:line="320" w:lineRule="exact"/>
              <w:jc w:val="center"/>
              <w:rPr>
                <w:rFonts w:ascii="仿宋_GB2312" w:hAnsi="宋体" w:eastAsia="仿宋_GB2312"/>
              </w:rPr>
            </w:pPr>
          </w:p>
        </w:tc>
        <w:tc>
          <w:tcPr>
            <w:tcW w:w="1060" w:type="dxa"/>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黄粒米％</w:t>
            </w:r>
          </w:p>
        </w:tc>
        <w:tc>
          <w:tcPr>
            <w:tcW w:w="1249" w:type="dxa"/>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脂肪酸值</w:t>
            </w:r>
            <w:r>
              <w:rPr>
                <w:rFonts w:hint="eastAsia" w:ascii="仿宋_GB2312" w:hAnsi="宋体" w:eastAsia="仿宋_GB2312"/>
                <w:color w:val="auto"/>
                <w:sz w:val="18"/>
                <w:szCs w:val="18"/>
              </w:rPr>
              <w:t>（KOH/干基）(mg/100g)</w:t>
            </w:r>
          </w:p>
        </w:tc>
        <w:tc>
          <w:tcPr>
            <w:tcW w:w="879" w:type="dxa"/>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互混％</w:t>
            </w:r>
          </w:p>
        </w:tc>
        <w:tc>
          <w:tcPr>
            <w:tcW w:w="1161" w:type="dxa"/>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品尝评分值</w:t>
            </w:r>
          </w:p>
        </w:tc>
        <w:tc>
          <w:tcPr>
            <w:tcW w:w="1020" w:type="dxa"/>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镉(mg/kg)</w:t>
            </w:r>
          </w:p>
        </w:tc>
        <w:tc>
          <w:tcPr>
            <w:tcW w:w="1050" w:type="dxa"/>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铅(mg/kg)</w:t>
            </w:r>
          </w:p>
        </w:tc>
        <w:tc>
          <w:tcPr>
            <w:tcW w:w="1089" w:type="dxa"/>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0"/>
              </w:rPr>
            </w:pPr>
            <w:r>
              <w:rPr>
                <w:rFonts w:hint="eastAsia" w:ascii="仿宋_GB2312" w:hAnsi="宋体" w:eastAsia="仿宋_GB2312"/>
              </w:rPr>
              <w:t>汞(mg/kg)</w:t>
            </w:r>
          </w:p>
        </w:tc>
      </w:tr>
      <w:tr>
        <w:tblPrEx>
          <w:tblLayout w:type="fixed"/>
          <w:tblCellMar>
            <w:top w:w="0" w:type="dxa"/>
            <w:left w:w="108" w:type="dxa"/>
            <w:bottom w:w="0" w:type="dxa"/>
            <w:right w:w="108" w:type="dxa"/>
          </w:tblCellMar>
        </w:tblPrEx>
        <w:trPr>
          <w:trHeight w:val="519" w:hRule="atLeast"/>
        </w:trPr>
        <w:tc>
          <w:tcPr>
            <w:tcW w:w="1060" w:type="dxa"/>
            <w:vMerge w:val="continue"/>
            <w:tcBorders>
              <w:left w:val="single" w:color="auto" w:sz="4" w:space="0"/>
              <w:right w:val="single" w:color="auto" w:sz="4" w:space="0"/>
            </w:tcBorders>
            <w:vAlign w:val="center"/>
          </w:tcPr>
          <w:p>
            <w:pPr>
              <w:spacing w:line="320" w:lineRule="exact"/>
              <w:jc w:val="center"/>
              <w:rPr>
                <w:rFonts w:ascii="仿宋_GB2312" w:hAnsi="宋体" w:eastAsia="仿宋_GB2312"/>
              </w:rPr>
            </w:pPr>
          </w:p>
        </w:tc>
        <w:tc>
          <w:tcPr>
            <w:tcW w:w="1060" w:type="dxa"/>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≤1.0</w:t>
            </w:r>
          </w:p>
        </w:tc>
        <w:tc>
          <w:tcPr>
            <w:tcW w:w="1249" w:type="dxa"/>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≤18.0</w:t>
            </w:r>
          </w:p>
        </w:tc>
        <w:tc>
          <w:tcPr>
            <w:tcW w:w="879" w:type="dxa"/>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≤5.0</w:t>
            </w:r>
          </w:p>
        </w:tc>
        <w:tc>
          <w:tcPr>
            <w:tcW w:w="1161" w:type="dxa"/>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≥75</w:t>
            </w:r>
          </w:p>
        </w:tc>
        <w:tc>
          <w:tcPr>
            <w:tcW w:w="1020" w:type="dxa"/>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≤0.2</w:t>
            </w:r>
          </w:p>
        </w:tc>
        <w:tc>
          <w:tcPr>
            <w:tcW w:w="1050" w:type="dxa"/>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≤0.2</w:t>
            </w:r>
          </w:p>
        </w:tc>
        <w:tc>
          <w:tcPr>
            <w:tcW w:w="1089" w:type="dxa"/>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0"/>
              </w:rPr>
            </w:pPr>
            <w:r>
              <w:rPr>
                <w:rFonts w:hint="eastAsia" w:ascii="仿宋_GB2312" w:hAnsi="宋体" w:eastAsia="仿宋_GB2312"/>
              </w:rPr>
              <w:t>≤0.02</w:t>
            </w:r>
          </w:p>
        </w:tc>
      </w:tr>
      <w:tr>
        <w:tblPrEx>
          <w:tblLayout w:type="fixed"/>
          <w:tblCellMar>
            <w:top w:w="0" w:type="dxa"/>
            <w:left w:w="108" w:type="dxa"/>
            <w:bottom w:w="0" w:type="dxa"/>
            <w:right w:w="108" w:type="dxa"/>
          </w:tblCellMar>
        </w:tblPrEx>
        <w:trPr>
          <w:trHeight w:val="682" w:hRule="atLeast"/>
        </w:trPr>
        <w:tc>
          <w:tcPr>
            <w:tcW w:w="1060" w:type="dxa"/>
            <w:vMerge w:val="continue"/>
            <w:tcBorders>
              <w:top w:val="nil"/>
              <w:left w:val="single" w:color="auto" w:sz="4" w:space="0"/>
              <w:bottom w:val="single" w:color="000000" w:sz="4" w:space="0"/>
              <w:right w:val="single" w:color="auto" w:sz="4" w:space="0"/>
            </w:tcBorders>
            <w:vAlign w:val="center"/>
          </w:tcPr>
          <w:p>
            <w:pPr>
              <w:spacing w:line="320" w:lineRule="exact"/>
              <w:jc w:val="left"/>
              <w:rPr>
                <w:rFonts w:ascii="仿宋_GB2312" w:hAnsi="宋体" w:eastAsia="仿宋_GB2312"/>
              </w:rPr>
            </w:pPr>
          </w:p>
        </w:tc>
        <w:tc>
          <w:tcPr>
            <w:tcW w:w="1060" w:type="dxa"/>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无机砷(mg/kg)</w:t>
            </w:r>
          </w:p>
        </w:tc>
        <w:tc>
          <w:tcPr>
            <w:tcW w:w="1249" w:type="dxa"/>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黄曲霉毒素В1</w:t>
            </w:r>
          </w:p>
          <w:p>
            <w:pPr>
              <w:spacing w:line="320" w:lineRule="exact"/>
              <w:jc w:val="center"/>
              <w:rPr>
                <w:rFonts w:ascii="仿宋_GB2312" w:hAnsi="宋体" w:eastAsia="仿宋_GB2312"/>
              </w:rPr>
            </w:pPr>
            <w:r>
              <w:rPr>
                <w:rFonts w:hint="eastAsia" w:ascii="宋体" w:hAnsi="宋体" w:eastAsia="仿宋_GB2312"/>
                <w:sz w:val="24"/>
              </w:rPr>
              <w:t>µ</w:t>
            </w:r>
            <w:r>
              <w:rPr>
                <w:rFonts w:hint="eastAsia" w:ascii="仿宋_GB2312" w:hAnsi="宋体" w:eastAsia="仿宋_GB2312"/>
                <w:sz w:val="24"/>
              </w:rPr>
              <w:t>g/kg</w:t>
            </w:r>
          </w:p>
        </w:tc>
        <w:tc>
          <w:tcPr>
            <w:tcW w:w="879" w:type="dxa"/>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敌敌畏(mg/kg)</w:t>
            </w:r>
          </w:p>
        </w:tc>
        <w:tc>
          <w:tcPr>
            <w:tcW w:w="1161" w:type="dxa"/>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马拉硫</w:t>
            </w:r>
            <w:r>
              <w:rPr>
                <w:rFonts w:hint="eastAsia" w:ascii="仿宋_GB2312" w:hAnsi="宋体" w:eastAsia="仿宋_GB2312"/>
                <w:color w:val="auto"/>
              </w:rPr>
              <w:t>磷</w:t>
            </w:r>
            <w:r>
              <w:rPr>
                <w:rFonts w:hint="eastAsia" w:ascii="仿宋_GB2312" w:hAnsi="宋体" w:eastAsia="仿宋_GB2312"/>
              </w:rPr>
              <w:t>(mg/kg)</w:t>
            </w:r>
          </w:p>
        </w:tc>
        <w:tc>
          <w:tcPr>
            <w:tcW w:w="1020" w:type="dxa"/>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毒死蜱(mg/kg)</w:t>
            </w:r>
          </w:p>
        </w:tc>
        <w:tc>
          <w:tcPr>
            <w:tcW w:w="1050" w:type="dxa"/>
            <w:tcBorders>
              <w:top w:val="nil"/>
              <w:left w:val="nil"/>
              <w:bottom w:val="single" w:color="auto" w:sz="4" w:space="0"/>
              <w:right w:val="single" w:color="auto" w:sz="4" w:space="0"/>
            </w:tcBorders>
            <w:vAlign w:val="center"/>
          </w:tcPr>
          <w:p>
            <w:pPr>
              <w:spacing w:line="320" w:lineRule="exact"/>
              <w:rPr>
                <w:rFonts w:ascii="仿宋_GB2312" w:hAnsi="宋体" w:eastAsia="仿宋_GB2312"/>
              </w:rPr>
            </w:pPr>
            <w:r>
              <w:rPr>
                <w:rFonts w:hint="eastAsia" w:ascii="仿宋_GB2312" w:hAnsi="宋体" w:eastAsia="仿宋_GB2312"/>
              </w:rPr>
              <w:t>三唑磷(mg/kg)</w:t>
            </w:r>
          </w:p>
        </w:tc>
        <w:tc>
          <w:tcPr>
            <w:tcW w:w="1089" w:type="dxa"/>
            <w:tcBorders>
              <w:top w:val="single" w:color="auto" w:sz="4" w:space="0"/>
              <w:left w:val="nil"/>
              <w:bottom w:val="single" w:color="auto" w:sz="4" w:space="0"/>
              <w:right w:val="single" w:color="auto" w:sz="4" w:space="0"/>
            </w:tcBorders>
            <w:vAlign w:val="center"/>
          </w:tcPr>
          <w:p>
            <w:pPr>
              <w:spacing w:line="320" w:lineRule="exact"/>
              <w:rPr>
                <w:rFonts w:ascii="仿宋_GB2312" w:hAnsi="宋体" w:eastAsia="仿宋_GB2312"/>
              </w:rPr>
            </w:pPr>
          </w:p>
        </w:tc>
      </w:tr>
      <w:tr>
        <w:tblPrEx>
          <w:tblLayout w:type="fixed"/>
          <w:tblCellMar>
            <w:top w:w="0" w:type="dxa"/>
            <w:left w:w="108" w:type="dxa"/>
            <w:bottom w:w="0" w:type="dxa"/>
            <w:right w:w="108" w:type="dxa"/>
          </w:tblCellMar>
        </w:tblPrEx>
        <w:trPr>
          <w:trHeight w:val="565" w:hRule="atLeast"/>
        </w:trPr>
        <w:tc>
          <w:tcPr>
            <w:tcW w:w="1060" w:type="dxa"/>
            <w:vMerge w:val="continue"/>
            <w:tcBorders>
              <w:top w:val="nil"/>
              <w:left w:val="single" w:color="auto" w:sz="4" w:space="0"/>
              <w:bottom w:val="single" w:color="000000" w:sz="4" w:space="0"/>
              <w:right w:val="single" w:color="auto" w:sz="4" w:space="0"/>
            </w:tcBorders>
            <w:vAlign w:val="center"/>
          </w:tcPr>
          <w:p>
            <w:pPr>
              <w:spacing w:line="320" w:lineRule="exact"/>
              <w:jc w:val="left"/>
              <w:rPr>
                <w:rFonts w:ascii="仿宋_GB2312" w:hAnsi="宋体" w:eastAsia="仿宋_GB2312"/>
              </w:rPr>
            </w:pPr>
          </w:p>
        </w:tc>
        <w:tc>
          <w:tcPr>
            <w:tcW w:w="1060" w:type="dxa"/>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≤0.2</w:t>
            </w:r>
          </w:p>
        </w:tc>
        <w:tc>
          <w:tcPr>
            <w:tcW w:w="1249" w:type="dxa"/>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≤10</w:t>
            </w:r>
          </w:p>
        </w:tc>
        <w:tc>
          <w:tcPr>
            <w:tcW w:w="879" w:type="dxa"/>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≤0.1</w:t>
            </w:r>
          </w:p>
        </w:tc>
        <w:tc>
          <w:tcPr>
            <w:tcW w:w="1161" w:type="dxa"/>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≤8</w:t>
            </w:r>
          </w:p>
        </w:tc>
        <w:tc>
          <w:tcPr>
            <w:tcW w:w="1020" w:type="dxa"/>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≤0.5</w:t>
            </w:r>
          </w:p>
        </w:tc>
        <w:tc>
          <w:tcPr>
            <w:tcW w:w="1050" w:type="dxa"/>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rPr>
            </w:pPr>
            <w:r>
              <w:rPr>
                <w:rFonts w:hint="eastAsia" w:ascii="仿宋_GB2312" w:hAnsi="宋体" w:eastAsia="仿宋_GB2312"/>
              </w:rPr>
              <w:t>≤0.05</w:t>
            </w:r>
          </w:p>
        </w:tc>
        <w:tc>
          <w:tcPr>
            <w:tcW w:w="1089"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rPr>
            </w:pPr>
          </w:p>
        </w:tc>
      </w:tr>
    </w:tbl>
    <w:p>
      <w:pPr>
        <w:spacing w:line="320" w:lineRule="exact"/>
        <w:ind w:firstLine="422" w:firstLineChars="200"/>
        <w:jc w:val="left"/>
        <w:rPr>
          <w:rFonts w:ascii="仿宋_GB2312" w:hAnsi="宋体" w:eastAsia="仿宋_GB2312"/>
          <w:b/>
        </w:rPr>
      </w:pPr>
      <w:r>
        <w:rPr>
          <w:rFonts w:hint="eastAsia" w:ascii="仿宋_GB2312" w:hAnsi="宋体" w:eastAsia="仿宋_GB2312"/>
          <w:b/>
        </w:rPr>
        <w:t xml:space="preserve">三、交货时间、地点: </w:t>
      </w:r>
    </w:p>
    <w:p>
      <w:pPr>
        <w:spacing w:line="320" w:lineRule="exact"/>
        <w:ind w:firstLine="420" w:firstLineChars="200"/>
        <w:rPr>
          <w:rFonts w:ascii="仿宋_GB2312" w:hAnsi="宋体" w:eastAsia="仿宋_GB2312"/>
        </w:rPr>
      </w:pPr>
      <w:r>
        <w:rPr>
          <w:rFonts w:hint="eastAsia" w:ascii="仿宋_GB2312" w:hAnsi="宋体" w:eastAsia="仿宋_GB2312"/>
        </w:rPr>
        <w:t>1.自合同签订之日起至2017年月日前（节假日不休息）交货完毕</w:t>
      </w:r>
      <w:r>
        <w:rPr>
          <w:rFonts w:hint="eastAsia" w:ascii="仿宋_GB2312" w:hAnsi="宋体" w:eastAsia="仿宋_GB2312"/>
          <w:b/>
        </w:rPr>
        <w:t>(详见各采购标的目录交货时限)。</w:t>
      </w:r>
      <w:r>
        <w:rPr>
          <w:rFonts w:hint="eastAsia" w:ascii="仿宋_GB2312" w:hAnsi="宋体" w:eastAsia="仿宋_GB2312"/>
        </w:rPr>
        <w:t>交货地点为需方粮库仓。</w:t>
      </w:r>
    </w:p>
    <w:p>
      <w:pPr>
        <w:spacing w:line="320" w:lineRule="exact"/>
        <w:ind w:firstLine="315" w:firstLineChars="150"/>
        <w:jc w:val="left"/>
        <w:rPr>
          <w:rFonts w:ascii="仿宋_GB2312" w:hAnsi="宋体" w:eastAsia="仿宋_GB2312"/>
          <w:b/>
          <w:color w:val="FF0000"/>
        </w:rPr>
      </w:pPr>
      <w:r>
        <w:rPr>
          <w:rFonts w:hint="eastAsia" w:ascii="仿宋_GB2312" w:hAnsi="宋体" w:eastAsia="仿宋_GB2312"/>
        </w:rPr>
        <w:t xml:space="preserve"> 2. 供方所委派的现场搬运及其他人员须遵守收货单位的安全生产和作业规定，并与收货单位签订安全生产责任书。货物在运输（装卸）过程中发生灭失、变质等事故或人身安全事故，均由供方承担责任。</w:t>
      </w:r>
    </w:p>
    <w:p>
      <w:pPr>
        <w:spacing w:line="320" w:lineRule="exact"/>
        <w:ind w:left="105" w:leftChars="50" w:firstLine="316" w:firstLineChars="150"/>
        <w:jc w:val="left"/>
        <w:rPr>
          <w:rFonts w:ascii="仿宋_GB2312" w:hAnsi="宋体" w:eastAsia="仿宋_GB2312"/>
          <w:b/>
        </w:rPr>
      </w:pPr>
      <w:r>
        <w:rPr>
          <w:rFonts w:hint="eastAsia" w:ascii="仿宋_GB2312" w:hAnsi="宋体" w:eastAsia="仿宋_GB2312"/>
          <w:b/>
        </w:rPr>
        <w:t xml:space="preserve">四、验收办法及要求:                                          </w:t>
      </w:r>
    </w:p>
    <w:p>
      <w:pPr>
        <w:spacing w:line="320" w:lineRule="exact"/>
        <w:ind w:firstLine="210" w:firstLineChars="100"/>
        <w:rPr>
          <w:rFonts w:ascii="仿宋_GB2312" w:hAnsi="宋体" w:eastAsia="仿宋_GB2312"/>
        </w:rPr>
      </w:pPr>
      <w:r>
        <w:rPr>
          <w:rFonts w:hint="eastAsia" w:ascii="仿宋_GB2312" w:hAnsi="宋体" w:eastAsia="仿宋_GB2312"/>
        </w:rPr>
        <w:t xml:space="preserve">  1.货到需方指定地点进行预进仓时</w:t>
      </w:r>
      <w:r>
        <w:rPr>
          <w:rFonts w:hint="eastAsia" w:ascii="仿宋_GB2312" w:hAnsi="宋体" w:eastAsia="仿宋_GB2312"/>
          <w:color w:val="auto"/>
        </w:rPr>
        <w:t>：（1）收货单位对每艘船和每部汽车进行抽查和验收，抽验不合格可直接退回；（2）对船运的货，可根据需要以每艘船为基准，原则上按每1000吨为一检验单位，每超1000吨增加一检验单位</w:t>
      </w:r>
      <w:r>
        <w:rPr>
          <w:rFonts w:hint="eastAsia" w:ascii="仿宋_GB2312" w:hAnsi="宋体" w:eastAsia="仿宋_GB2312"/>
        </w:rPr>
        <w:t>；以此类推对车运的货，可根据需要按批次或以每300吨为一检验单位；检测单位原则上应委托莆田市粮油质量监测站进行质量检测，特殊情况，可委托其它地市有资质的检测机构进行检测，对检测结果有异议的委托福建省粮油质量监测所进行检测,检测所需费用由供方承担，指标检测结果不合格可直接退回。</w:t>
      </w:r>
    </w:p>
    <w:p>
      <w:pPr>
        <w:spacing w:line="320" w:lineRule="exact"/>
        <w:ind w:firstLine="210" w:firstLineChars="100"/>
        <w:rPr>
          <w:rFonts w:ascii="仿宋_GB2312" w:hAnsi="宋体" w:eastAsia="仿宋_GB2312"/>
        </w:rPr>
      </w:pPr>
      <w:r>
        <w:rPr>
          <w:rFonts w:hint="eastAsia" w:ascii="仿宋_GB2312" w:hAnsi="宋体" w:eastAsia="仿宋_GB2312"/>
        </w:rPr>
        <w:t>2.交货的粮食主要害虫每公斤在2头以上（含2头）10头以下（不含10头）的，收货单位向供方收取每吨5元虫粮整理费；每公斤在10头以上（含10头）15头以下（不含15头）的，收货单位向供方收取每吨10元虫粮整理费；每公斤在15头以上（含15头）的，收货单位有权拒收。</w:t>
      </w:r>
    </w:p>
    <w:p>
      <w:pPr>
        <w:spacing w:line="320" w:lineRule="exact"/>
        <w:ind w:firstLine="420" w:firstLineChars="200"/>
        <w:rPr>
          <w:rFonts w:ascii="仿宋_GB2312" w:hAnsi="宋体" w:eastAsia="仿宋_GB2312"/>
        </w:rPr>
      </w:pPr>
      <w:r>
        <w:rPr>
          <w:rFonts w:hint="eastAsia" w:ascii="仿宋_GB2312" w:hAnsi="宋体" w:eastAsia="仿宋_GB2312"/>
        </w:rPr>
        <w:t>3.除“食品安全国家标准指标”、“品尝评分值指标”外,其它检测指标检验合格的，需方先予以预接收(优于接收标准的需方不加价不增量)；检验不合格的，需方不予接收，且临时存放在需方交货地点的货物，供方须在需方通知退货之日起</w:t>
      </w:r>
      <w:bookmarkStart w:id="4" w:name="_GoBack"/>
      <w:bookmarkEnd w:id="4"/>
      <w:r>
        <w:rPr>
          <w:rFonts w:hint="eastAsia" w:ascii="仿宋_GB2312" w:hAnsi="宋体" w:eastAsia="仿宋_GB2312"/>
        </w:rPr>
        <w:t>三天内将货物移出需方库区，逾期未移出的，需方有权对其处置,造成的损失由供方承担。除“食品安全国家标准指标”、“品尝评分值指标”外，其它指标检验时间为五天之内。</w:t>
      </w:r>
    </w:p>
    <w:p>
      <w:pPr>
        <w:spacing w:line="320" w:lineRule="exact"/>
        <w:ind w:firstLine="420" w:firstLineChars="200"/>
        <w:rPr>
          <w:rFonts w:ascii="仿宋_GB2312" w:hAnsi="宋体" w:eastAsia="仿宋_GB2312"/>
        </w:rPr>
      </w:pPr>
      <w:r>
        <w:rPr>
          <w:rFonts w:hint="eastAsia" w:ascii="仿宋_GB2312" w:hAnsi="宋体" w:eastAsia="仿宋_GB2312"/>
        </w:rPr>
        <w:t>4.预进仓满仓结束后,“食品安全国家标准指标”、“品尝评分值指标”由有资质的粮油质量监督检测机构按国粮发[2010]190号《关于中央储备粮油质量检查扦样检验管理办法》进行扦样检测 。检验合格的,需方予以确认接收;“食品安全国家标准指标”检验不合格的,需方将按照国家相关法律法规要求，报送至供方与需方《营业执照》注册所在地的有关责任部门处理；“品尝评分值指标” 检验不合格的,则予以退货；以上检验不合格的粮食，由此所造成的一切责任、损失由供方承担。供需双方将根据处理情况三日内重新签订《入库补充合同》，由供方重新组织合格的货源入库。“食品安全国家标准指标”、“品尝评分值指标” 检验时间为三十天之内，检测所需费用由供方承担。对指标检测结果如有争议，由福建省粮油质量监测所进行仲裁，费用由责任方负担，仲裁结果合格准予接收。</w:t>
      </w:r>
    </w:p>
    <w:p>
      <w:pPr>
        <w:spacing w:line="320" w:lineRule="exact"/>
        <w:ind w:firstLine="420" w:firstLineChars="200"/>
        <w:rPr>
          <w:rFonts w:ascii="仿宋_GB2312" w:hAnsi="宋体" w:eastAsia="仿宋_GB2312"/>
        </w:rPr>
      </w:pPr>
      <w:r>
        <w:rPr>
          <w:rFonts w:hint="eastAsia" w:ascii="仿宋_GB2312" w:hAnsi="宋体" w:eastAsia="仿宋_GB2312"/>
        </w:rPr>
        <w:t>5.双方应严格执行</w:t>
      </w:r>
      <w:r>
        <w:rPr>
          <w:rFonts w:hint="eastAsia" w:ascii="仿宋_GB2312" w:hAnsi="宋体" w:eastAsia="仿宋_GB2312"/>
          <w:color w:val="auto"/>
        </w:rPr>
        <w:t>国粮办发〔2016〕243号《国家粮食局办公室关于转发&lt;粮食质量安全监管办法&gt;的通知》文</w:t>
      </w:r>
      <w:r>
        <w:rPr>
          <w:rFonts w:hint="eastAsia" w:ascii="仿宋_GB2312" w:hAnsi="宋体" w:eastAsia="仿宋_GB2312"/>
        </w:rPr>
        <w:t>件精神。供方应随货提供《稻谷销售出库检验报告》给需方。</w:t>
      </w:r>
    </w:p>
    <w:p>
      <w:pPr>
        <w:spacing w:line="320" w:lineRule="exact"/>
        <w:ind w:firstLine="422" w:firstLineChars="200"/>
        <w:rPr>
          <w:rFonts w:ascii="仿宋_GB2312" w:hAnsi="宋体" w:eastAsia="仿宋_GB2312"/>
        </w:rPr>
      </w:pPr>
      <w:r>
        <w:rPr>
          <w:rFonts w:hint="eastAsia" w:ascii="仿宋_GB2312" w:hAnsi="宋体" w:eastAsia="仿宋_GB2312"/>
          <w:b/>
        </w:rPr>
        <w:t>五、交货数量:</w:t>
      </w:r>
      <w:r>
        <w:rPr>
          <w:rFonts w:hint="eastAsia" w:ascii="仿宋_GB2312" w:hAnsi="宋体" w:eastAsia="仿宋_GB2312"/>
        </w:rPr>
        <w:t xml:space="preserve">交货数量以接收库点或邻近地点有资质的地磅计量为准,过磅所需费用由供方负担。              </w:t>
      </w:r>
    </w:p>
    <w:p>
      <w:pPr>
        <w:spacing w:line="320" w:lineRule="exact"/>
        <w:ind w:firstLine="422" w:firstLineChars="200"/>
        <w:jc w:val="left"/>
        <w:rPr>
          <w:rFonts w:ascii="仿宋_GB2312" w:hAnsi="宋体" w:eastAsia="仿宋_GB2312"/>
          <w:color w:val="FF0000"/>
          <w:u w:val="single"/>
        </w:rPr>
      </w:pPr>
      <w:r>
        <w:rPr>
          <w:rFonts w:hint="eastAsia" w:ascii="仿宋_GB2312" w:hAnsi="宋体" w:eastAsia="仿宋_GB2312"/>
          <w:b/>
        </w:rPr>
        <w:t>六、结算方式:</w:t>
      </w:r>
      <w:r>
        <w:rPr>
          <w:rFonts w:hint="eastAsia" w:ascii="仿宋_GB2312" w:hAnsi="宋体" w:eastAsia="仿宋_GB2312"/>
        </w:rPr>
        <w:t>以检验合格的整仓为结算单位，需方凭供方与接收仓库签定的收货凭证和正规税务发票，在三个工作日内付给供方货款。</w:t>
      </w:r>
    </w:p>
    <w:p>
      <w:pPr>
        <w:spacing w:line="320" w:lineRule="exact"/>
        <w:ind w:firstLine="422" w:firstLineChars="200"/>
        <w:rPr>
          <w:rFonts w:ascii="仿宋_GB2312" w:hAnsi="宋体" w:eastAsia="仿宋_GB2312"/>
          <w:b/>
        </w:rPr>
      </w:pPr>
      <w:r>
        <w:rPr>
          <w:rFonts w:hint="eastAsia" w:ascii="仿宋_GB2312" w:hAnsi="宋体" w:eastAsia="仿宋_GB2312"/>
          <w:b/>
        </w:rPr>
        <w:t>七、入库要求及费用负担：</w:t>
      </w:r>
    </w:p>
    <w:p>
      <w:pPr>
        <w:spacing w:line="320" w:lineRule="exact"/>
        <w:ind w:firstLine="420" w:firstLineChars="200"/>
        <w:rPr>
          <w:rFonts w:ascii="仿宋_GB2312" w:hAnsi="宋体" w:eastAsia="仿宋_GB2312"/>
        </w:rPr>
      </w:pPr>
      <w:r>
        <w:rPr>
          <w:rFonts w:hint="eastAsia" w:ascii="仿宋_GB2312" w:hAnsi="宋体" w:eastAsia="仿宋_GB2312"/>
        </w:rPr>
        <w:t>1.包装入库的：包装物由供方提供,必须符合国标旧麻袋以上,不破不漏;包口须用麻绳缝口,活扣缝口不少于9针（不含两边马耳）或采用机械缝口。包装麻袋按每条1公斤扣重量，不计价,稻谷平均每包净重为70公斤±3%。如果包装物污染、有异常气味、破损、包装缝口不符合规定，或重量不符合规定,需方不予接收，地下粮供方需无偿提供麻袋包装，同时要求粮堆堆叠整齐、粮面平整。</w:t>
      </w:r>
    </w:p>
    <w:p>
      <w:pPr>
        <w:spacing w:line="320" w:lineRule="exact"/>
        <w:ind w:firstLine="420" w:firstLineChars="200"/>
        <w:rPr>
          <w:rFonts w:ascii="仿宋_GB2312" w:hAnsi="宋体" w:eastAsia="仿宋_GB2312"/>
        </w:rPr>
      </w:pPr>
      <w:r>
        <w:rPr>
          <w:rFonts w:hint="eastAsia" w:ascii="仿宋_GB2312" w:hAnsi="宋体" w:eastAsia="仿宋_GB2312"/>
        </w:rPr>
        <w:t>2.散装入库的：供方负责将标的物送到指定仓内并堆叠整洁。还要根据各承储单位要求提供围跺、扎机麻袋</w:t>
      </w:r>
      <w:r>
        <w:rPr>
          <w:rFonts w:hint="eastAsia" w:ascii="仿宋_GB2312" w:hAnsi="宋体" w:eastAsia="仿宋_GB2312"/>
          <w:b/>
          <w:color w:val="auto"/>
        </w:rPr>
        <w:t>（详见各采购标的目录特别约定）</w:t>
      </w:r>
      <w:r>
        <w:rPr>
          <w:rFonts w:hint="eastAsia" w:ascii="仿宋_GB2312" w:hAnsi="宋体" w:eastAsia="仿宋_GB2312"/>
          <w:color w:val="auto"/>
        </w:rPr>
        <w:t>,</w:t>
      </w:r>
      <w:r>
        <w:rPr>
          <w:rFonts w:hint="eastAsia" w:ascii="仿宋_GB2312" w:hAnsi="宋体" w:eastAsia="仿宋_GB2312"/>
        </w:rPr>
        <w:t>另外粮面过道必须用国标旧麻袋做为踏粮走道，具体数量由仓库实际需要决定（所需麻袋不作价，不计重，由供方无偿提供）。</w:t>
      </w:r>
    </w:p>
    <w:p>
      <w:pPr>
        <w:spacing w:line="320" w:lineRule="exact"/>
        <w:ind w:firstLine="420" w:firstLineChars="200"/>
        <w:rPr>
          <w:rFonts w:ascii="仿宋_GB2312" w:hAnsi="宋体" w:eastAsia="仿宋_GB2312"/>
          <w:color w:val="auto"/>
        </w:rPr>
      </w:pPr>
      <w:r>
        <w:rPr>
          <w:rFonts w:hint="eastAsia" w:ascii="仿宋_GB2312" w:hAnsi="宋体" w:eastAsia="仿宋_GB2312"/>
          <w:szCs w:val="21"/>
        </w:rPr>
        <w:t>3.搬运费用：由供方负担，要求粮面堆叠整洁、平整。若供方需使用需方机械</w:t>
      </w:r>
      <w:r>
        <w:rPr>
          <w:rFonts w:hint="eastAsia" w:ascii="仿宋_GB2312" w:hAnsi="宋体" w:eastAsia="仿宋_GB2312"/>
        </w:rPr>
        <w:t>设备</w:t>
      </w:r>
      <w:r>
        <w:rPr>
          <w:rFonts w:hint="eastAsia" w:ascii="仿宋_GB2312" w:hAnsi="宋体" w:eastAsia="仿宋_GB2312"/>
          <w:color w:val="auto"/>
        </w:rPr>
        <w:t>，机械设备使用费为</w:t>
      </w:r>
      <w:r>
        <w:rPr>
          <w:rFonts w:hint="eastAsia" w:ascii="仿宋_GB2312" w:hAnsi="宋体" w:eastAsia="仿宋_GB2312"/>
          <w:color w:val="auto"/>
          <w:u w:val="single"/>
        </w:rPr>
        <w:t xml:space="preserve"> 4 </w:t>
      </w:r>
      <w:r>
        <w:rPr>
          <w:rFonts w:hint="eastAsia" w:ascii="仿宋_GB2312" w:hAnsi="宋体" w:eastAsia="仿宋_GB2312"/>
          <w:color w:val="auto"/>
        </w:rPr>
        <w:t>元/吨（含电费)。</w:t>
      </w:r>
    </w:p>
    <w:p>
      <w:pPr>
        <w:spacing w:line="320" w:lineRule="exact"/>
        <w:ind w:firstLine="422" w:firstLineChars="200"/>
        <w:rPr>
          <w:rFonts w:ascii="仿宋_GB2312" w:hAnsi="宋体" w:eastAsia="仿宋_GB2312"/>
        </w:rPr>
      </w:pPr>
      <w:r>
        <w:rPr>
          <w:rFonts w:hint="eastAsia" w:ascii="仿宋_GB2312" w:hAnsi="宋体" w:eastAsia="仿宋_GB2312"/>
          <w:b/>
        </w:rPr>
        <w:t>八、合同履约保证金:</w:t>
      </w:r>
      <w:r>
        <w:rPr>
          <w:rFonts w:hint="eastAsia" w:ascii="仿宋_GB2312" w:hAnsi="宋体" w:eastAsia="仿宋_GB2312"/>
        </w:rPr>
        <w:t>供方应向需方交纳合同履约保证金￥</w:t>
      </w:r>
      <w:r>
        <w:rPr>
          <w:rFonts w:hint="eastAsia" w:ascii="仿宋_GB2312" w:hAnsi="宋体" w:eastAsia="仿宋_GB2312"/>
          <w:u w:val="single"/>
        </w:rPr>
        <w:t xml:space="preserve"> 160  </w:t>
      </w:r>
      <w:r>
        <w:rPr>
          <w:rFonts w:hint="eastAsia" w:ascii="仿宋_GB2312" w:hAnsi="宋体" w:eastAsia="仿宋_GB2312"/>
        </w:rPr>
        <w:t>元/吨，计￥万元。供方履行本合同规定后,合同履约保证金由需方无息退还供方。</w:t>
      </w:r>
    </w:p>
    <w:p>
      <w:pPr>
        <w:spacing w:line="320" w:lineRule="exact"/>
        <w:ind w:firstLine="422" w:firstLineChars="200"/>
        <w:rPr>
          <w:rFonts w:ascii="仿宋_GB2312" w:hAnsi="宋体" w:eastAsia="仿宋_GB2312"/>
        </w:rPr>
      </w:pPr>
      <w:r>
        <w:rPr>
          <w:rFonts w:hint="eastAsia" w:ascii="仿宋_GB2312" w:hAnsi="宋体" w:eastAsia="仿宋_GB2312"/>
          <w:b/>
        </w:rPr>
        <w:t>九、违约责任：</w:t>
      </w:r>
      <w:r>
        <w:rPr>
          <w:rFonts w:hint="eastAsia" w:ascii="仿宋_GB2312" w:hAnsi="宋体" w:eastAsia="仿宋_GB2312"/>
        </w:rPr>
        <w:t>本合同经双方签订并盖章后生效，双方均应按本合同的条款履行义务，任何一方未履行合同约定义务的，均应向守约方赔偿全部经济损失。如供方不能在规定期限内全部交货完毕，则需方按未完成的数量，以160元/吨收缴供方所交纳的合同履约保证金，逾期超过15天的，需方有权没收供方所交纳的所有保证金,并终止本《采购合同》。如乙方交货后，经质量复检未能达到合格标准，按本合同第四条规定处理。</w:t>
      </w:r>
    </w:p>
    <w:p>
      <w:pPr>
        <w:spacing w:line="320" w:lineRule="exact"/>
        <w:ind w:firstLine="422" w:firstLineChars="200"/>
        <w:rPr>
          <w:rFonts w:ascii="仿宋_GB2312" w:hAnsi="宋体" w:eastAsia="仿宋_GB2312"/>
        </w:rPr>
      </w:pPr>
      <w:r>
        <w:rPr>
          <w:rFonts w:hint="eastAsia" w:ascii="仿宋_GB2312" w:hAnsi="宋体" w:eastAsia="仿宋_GB2312"/>
          <w:b/>
        </w:rPr>
        <w:t>十、解决合同纠纷的方式：</w:t>
      </w:r>
      <w:r>
        <w:rPr>
          <w:rFonts w:hint="eastAsia" w:ascii="仿宋_GB2312" w:hAnsi="宋体" w:eastAsia="仿宋_GB2312"/>
        </w:rPr>
        <w:t>本合同如有未尽事宜, 由双方协商解决。协商不成的，任何一方均可向需方所在地的人民法院提起诉讼。</w:t>
      </w:r>
    </w:p>
    <w:p>
      <w:pPr>
        <w:spacing w:line="320" w:lineRule="exact"/>
        <w:ind w:firstLine="422" w:firstLineChars="200"/>
        <w:rPr>
          <w:rFonts w:ascii="仿宋_GB2312" w:hAnsi="宋体" w:eastAsia="仿宋_GB2312"/>
          <w:b/>
        </w:rPr>
      </w:pPr>
      <w:r>
        <w:rPr>
          <w:rFonts w:hint="eastAsia" w:ascii="仿宋_GB2312" w:hAnsi="宋体" w:eastAsia="仿宋_GB2312"/>
          <w:b/>
        </w:rPr>
        <w:t>十一、本合同一式贰份，经双方代表签章后生效,供需双方各执一份。</w:t>
      </w:r>
    </w:p>
    <w:p>
      <w:pPr>
        <w:spacing w:line="320" w:lineRule="exact"/>
        <w:ind w:firstLine="420" w:firstLineChars="200"/>
        <w:rPr>
          <w:rFonts w:ascii="仿宋_GB2312" w:hAnsi="宋体" w:eastAsia="仿宋_GB2312"/>
        </w:rPr>
      </w:pPr>
    </w:p>
    <w:p>
      <w:pPr>
        <w:spacing w:line="320" w:lineRule="exact"/>
        <w:ind w:firstLine="420" w:firstLineChars="200"/>
        <w:rPr>
          <w:rFonts w:ascii="仿宋_GB2312" w:hAnsi="宋体" w:eastAsia="仿宋_GB2312"/>
        </w:rPr>
      </w:pPr>
      <w:r>
        <w:rPr>
          <w:rFonts w:hint="eastAsia" w:ascii="仿宋_GB2312" w:hAnsi="宋体" w:eastAsia="仿宋_GB2312"/>
        </w:rPr>
        <w:t>需 方                                   供 方</w:t>
      </w:r>
    </w:p>
    <w:p>
      <w:pPr>
        <w:spacing w:line="320" w:lineRule="exact"/>
        <w:ind w:firstLine="420" w:firstLineChars="200"/>
        <w:rPr>
          <w:rFonts w:ascii="仿宋_GB2312" w:hAnsi="宋体" w:eastAsia="仿宋_GB2312"/>
        </w:rPr>
      </w:pPr>
      <w:r>
        <w:rPr>
          <w:rFonts w:hint="eastAsia" w:ascii="仿宋_GB2312" w:hAnsi="宋体" w:eastAsia="仿宋_GB2312"/>
        </w:rPr>
        <w:t xml:space="preserve">单位名称(章)：                          单位名称(章)：  </w:t>
      </w:r>
    </w:p>
    <w:p>
      <w:pPr>
        <w:spacing w:line="320" w:lineRule="exact"/>
        <w:ind w:firstLine="420" w:firstLineChars="200"/>
        <w:rPr>
          <w:rFonts w:ascii="仿宋_GB2312" w:hAnsi="宋体" w:eastAsia="仿宋_GB2312"/>
        </w:rPr>
      </w:pPr>
      <w:r>
        <w:rPr>
          <w:rFonts w:hint="eastAsia" w:ascii="仿宋_GB2312" w:hAnsi="宋体" w:eastAsia="仿宋_GB2312"/>
        </w:rPr>
        <w:t>法定代表人：                           法定代表人：</w:t>
      </w:r>
    </w:p>
    <w:p>
      <w:pPr>
        <w:spacing w:line="320" w:lineRule="exact"/>
        <w:ind w:firstLine="420" w:firstLineChars="200"/>
        <w:rPr>
          <w:rFonts w:ascii="仿宋_GB2312" w:hAnsi="宋体" w:eastAsia="仿宋_GB2312"/>
        </w:rPr>
      </w:pPr>
      <w:r>
        <w:rPr>
          <w:rFonts w:hint="eastAsia" w:ascii="仿宋_GB2312" w:hAnsi="宋体" w:eastAsia="仿宋_GB2312"/>
        </w:rPr>
        <w:t>经    办:                               经    办:</w:t>
      </w:r>
    </w:p>
    <w:p>
      <w:pPr>
        <w:spacing w:line="320" w:lineRule="exact"/>
        <w:ind w:firstLine="420" w:firstLineChars="200"/>
        <w:rPr>
          <w:rFonts w:ascii="仿宋_GB2312" w:hAnsi="宋体" w:eastAsia="仿宋_GB2312"/>
        </w:rPr>
      </w:pPr>
      <w:r>
        <w:rPr>
          <w:rFonts w:hint="eastAsia" w:ascii="仿宋_GB2312" w:hAnsi="宋体" w:eastAsia="仿宋_GB2312"/>
        </w:rPr>
        <w:t>联系电话:                               联系电话:</w:t>
      </w:r>
    </w:p>
    <w:p>
      <w:pPr>
        <w:spacing w:line="320" w:lineRule="exact"/>
        <w:ind w:firstLine="420" w:firstLineChars="200"/>
        <w:rPr>
          <w:rFonts w:ascii="仿宋_GB2312" w:hAnsi="宋体" w:eastAsia="仿宋_GB2312"/>
        </w:rPr>
      </w:pPr>
      <w:r>
        <w:rPr>
          <w:rFonts w:hint="eastAsia" w:ascii="仿宋_GB2312" w:hAnsi="宋体" w:eastAsia="仿宋_GB2312"/>
        </w:rPr>
        <w:t xml:space="preserve">开 户 行：                              开 户 行： </w:t>
      </w:r>
    </w:p>
    <w:p>
      <w:pPr>
        <w:spacing w:line="320" w:lineRule="exact"/>
        <w:ind w:firstLine="420" w:firstLineChars="200"/>
        <w:rPr>
          <w:rFonts w:ascii="仿宋_GB2312" w:hAnsi="宋体" w:eastAsia="仿宋_GB2312"/>
        </w:rPr>
      </w:pPr>
      <w:r>
        <w:rPr>
          <w:rFonts w:hint="eastAsia" w:ascii="仿宋_GB2312" w:hAnsi="宋体" w:eastAsia="仿宋_GB2312"/>
        </w:rPr>
        <w:t>账    号：                              账    号：</w:t>
      </w:r>
    </w:p>
    <w:p>
      <w:pPr>
        <w:spacing w:line="320" w:lineRule="exact"/>
        <w:rPr>
          <w:rFonts w:ascii="宋体" w:hAnsi="宋体"/>
          <w:b/>
          <w:sz w:val="32"/>
        </w:rPr>
      </w:pPr>
      <w:r>
        <w:rPr>
          <w:rFonts w:hint="eastAsia" w:ascii="仿宋_GB2312" w:hAnsi="宋体" w:eastAsia="仿宋_GB2312"/>
        </w:rPr>
        <w:t xml:space="preserve">                                            合同签订日:  年  月  日</w:t>
      </w:r>
    </w:p>
    <w:p>
      <w:pPr>
        <w:spacing w:line="400" w:lineRule="exact"/>
        <w:rPr>
          <w:rFonts w:ascii="宋体" w:hAnsi="宋体"/>
          <w:b/>
          <w:sz w:val="32"/>
          <w:szCs w:val="32"/>
        </w:rPr>
      </w:pPr>
    </w:p>
    <w:p>
      <w:pPr>
        <w:spacing w:line="300" w:lineRule="exact"/>
        <w:rPr>
          <w:rFonts w:ascii="宋体" w:hAnsi="宋体"/>
          <w:b/>
          <w:sz w:val="32"/>
          <w:szCs w:val="32"/>
        </w:rPr>
      </w:pPr>
    </w:p>
    <w:p>
      <w:pPr>
        <w:spacing w:line="400" w:lineRule="exact"/>
        <w:rPr>
          <w:rFonts w:ascii="宋体" w:hAnsi="宋体"/>
          <w:b/>
          <w:sz w:val="32"/>
          <w:szCs w:val="32"/>
        </w:rPr>
      </w:pPr>
    </w:p>
    <w:p>
      <w:pPr>
        <w:spacing w:line="400" w:lineRule="exact"/>
        <w:rPr>
          <w:rFonts w:ascii="宋体" w:hAnsi="宋体"/>
          <w:b/>
          <w:sz w:val="32"/>
          <w:szCs w:val="32"/>
        </w:rPr>
      </w:pPr>
    </w:p>
    <w:p>
      <w:pPr>
        <w:spacing w:line="400" w:lineRule="exact"/>
        <w:rPr>
          <w:rFonts w:ascii="宋体" w:hAnsi="宋体"/>
          <w:b/>
          <w:sz w:val="32"/>
          <w:szCs w:val="32"/>
        </w:rPr>
      </w:pPr>
    </w:p>
    <w:p>
      <w:pPr>
        <w:spacing w:line="400" w:lineRule="exact"/>
        <w:rPr>
          <w:rFonts w:ascii="宋体" w:hAnsi="宋体"/>
          <w:b/>
          <w:sz w:val="32"/>
          <w:szCs w:val="32"/>
        </w:rPr>
      </w:pPr>
    </w:p>
    <w:p>
      <w:pPr>
        <w:spacing w:line="400" w:lineRule="exact"/>
        <w:rPr>
          <w:rFonts w:ascii="宋体" w:hAnsi="宋体"/>
          <w:b/>
          <w:sz w:val="32"/>
          <w:szCs w:val="32"/>
        </w:rPr>
      </w:pPr>
    </w:p>
    <w:p>
      <w:pPr>
        <w:spacing w:line="400" w:lineRule="exact"/>
        <w:rPr>
          <w:rFonts w:ascii="宋体" w:hAnsi="宋体"/>
          <w:b/>
          <w:sz w:val="32"/>
          <w:szCs w:val="32"/>
        </w:rPr>
      </w:pPr>
    </w:p>
    <w:p>
      <w:pPr>
        <w:spacing w:line="400" w:lineRule="exact"/>
        <w:rPr>
          <w:rFonts w:ascii="宋体" w:hAnsi="宋体"/>
          <w:b/>
          <w:sz w:val="32"/>
          <w:szCs w:val="32"/>
        </w:rPr>
      </w:pPr>
    </w:p>
    <w:p>
      <w:pPr>
        <w:spacing w:line="400" w:lineRule="exact"/>
        <w:rPr>
          <w:rFonts w:ascii="宋体" w:hAnsi="宋体"/>
          <w:b/>
          <w:sz w:val="32"/>
          <w:szCs w:val="32"/>
        </w:rPr>
      </w:pPr>
    </w:p>
    <w:p>
      <w:pPr>
        <w:widowControl w:val="0"/>
        <w:snapToGrid w:val="0"/>
        <w:spacing w:line="714" w:lineRule="atLeast"/>
        <w:jc w:val="center"/>
        <w:rPr>
          <w:rFonts w:ascii="仿宋_GB2312" w:eastAsia="仿宋_GB2312"/>
          <w:b/>
          <w:sz w:val="47"/>
        </w:rPr>
      </w:pPr>
    </w:p>
    <w:p>
      <w:pPr>
        <w:widowControl w:val="0"/>
        <w:snapToGrid w:val="0"/>
        <w:spacing w:line="714" w:lineRule="atLeast"/>
        <w:jc w:val="center"/>
        <w:rPr>
          <w:rFonts w:ascii="仿宋_GB2312" w:eastAsia="仿宋_GB2312"/>
          <w:b/>
          <w:sz w:val="47"/>
        </w:rPr>
      </w:pPr>
    </w:p>
    <w:p>
      <w:pPr>
        <w:widowControl w:val="0"/>
        <w:snapToGrid w:val="0"/>
        <w:spacing w:line="714" w:lineRule="atLeast"/>
        <w:jc w:val="center"/>
        <w:rPr>
          <w:rFonts w:ascii="仿宋_GB2312" w:eastAsia="仿宋_GB2312"/>
          <w:b/>
          <w:sz w:val="47"/>
        </w:rPr>
      </w:pPr>
    </w:p>
    <w:p>
      <w:pPr>
        <w:widowControl w:val="0"/>
        <w:snapToGrid w:val="0"/>
        <w:spacing w:line="714" w:lineRule="atLeast"/>
        <w:jc w:val="center"/>
        <w:rPr>
          <w:rFonts w:ascii="仿宋_GB2312" w:eastAsia="仿宋_GB2312"/>
          <w:b/>
          <w:sz w:val="47"/>
        </w:rPr>
      </w:pPr>
    </w:p>
    <w:p>
      <w:pPr>
        <w:widowControl w:val="0"/>
        <w:snapToGrid w:val="0"/>
        <w:spacing w:line="714" w:lineRule="atLeast"/>
        <w:jc w:val="center"/>
        <w:rPr>
          <w:rFonts w:ascii="仿宋_GB2312" w:eastAsia="仿宋_GB2312"/>
          <w:b/>
          <w:sz w:val="47"/>
        </w:rPr>
      </w:pPr>
      <w:r>
        <w:rPr>
          <w:rFonts w:hint="eastAsia" w:ascii="仿宋_GB2312" w:eastAsia="仿宋_GB2312"/>
          <w:b/>
          <w:sz w:val="47"/>
        </w:rPr>
        <w:t>福州粮食批发交易市场网上交易大厅</w:t>
      </w:r>
    </w:p>
    <w:p>
      <w:pPr>
        <w:widowControl w:val="0"/>
        <w:snapToGrid w:val="0"/>
        <w:spacing w:line="714" w:lineRule="atLeast"/>
        <w:jc w:val="center"/>
        <w:rPr>
          <w:rFonts w:ascii="仿宋_GB2312" w:eastAsia="仿宋_GB2312"/>
          <w:b/>
          <w:sz w:val="47"/>
        </w:rPr>
      </w:pPr>
      <w:r>
        <w:rPr>
          <w:rFonts w:hint="eastAsia" w:ascii="仿宋_GB2312" w:eastAsia="仿宋_GB2312"/>
          <w:b/>
          <w:sz w:val="47"/>
        </w:rPr>
        <w:t>使用手册</w:t>
      </w:r>
    </w:p>
    <w:p>
      <w:pPr>
        <w:spacing w:line="400" w:lineRule="atLeast"/>
      </w:pPr>
    </w:p>
    <w:p>
      <w:pPr>
        <w:spacing w:line="400" w:lineRule="atLeast"/>
      </w:pPr>
      <w:r>
        <w:rPr>
          <w:rFonts w:hint="eastAsia"/>
        </w:rPr>
        <w:t xml:space="preserve">一．打开IE浏览器，打开榕粮网主页： </w:t>
      </w:r>
      <w:r>
        <w:fldChar w:fldCharType="begin"/>
      </w:r>
      <w:r>
        <w:instrText xml:space="preserve"> HYPERLINK "http://www.fzgrain.com" </w:instrText>
      </w:r>
      <w:r>
        <w:fldChar w:fldCharType="separate"/>
      </w:r>
      <w:r>
        <w:rPr>
          <w:rStyle w:val="9"/>
          <w:rFonts w:hint="eastAsia"/>
          <w:color w:val="000000"/>
        </w:rPr>
        <w:t>http://www.fzgrain.com</w:t>
      </w:r>
      <w:r>
        <w:rPr>
          <w:rStyle w:val="9"/>
          <w:rFonts w:hint="eastAsia"/>
          <w:color w:val="000000"/>
        </w:rPr>
        <w:fldChar w:fldCharType="end"/>
      </w:r>
      <w:r>
        <w:rPr>
          <w:rFonts w:hint="eastAsia"/>
        </w:rPr>
        <w:t xml:space="preserve"> ，点击导航栏中的 </w:t>
      </w:r>
      <w:r>
        <w:rPr>
          <w:rFonts w:hint="eastAsia"/>
          <w:u w:val="single"/>
        </w:rPr>
        <w:t>交易大厅</w:t>
      </w:r>
      <w:r>
        <w:rPr>
          <w:rFonts w:hint="eastAsia"/>
        </w:rPr>
        <w:t xml:space="preserve"> 按钮，进入交易大厅登陆界面（如图1）</w:t>
      </w:r>
    </w:p>
    <w:p>
      <w:pPr>
        <w:spacing w:line="400" w:lineRule="atLeast"/>
      </w:pPr>
      <w:r>
        <w:drawing>
          <wp:inline distT="0" distB="0" distL="114300" distR="114300">
            <wp:extent cx="5619750" cy="476250"/>
            <wp:effectExtent l="0" t="0" r="0" b="0"/>
            <wp:docPr id="2" name="图片 1" descr="t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u1"/>
                    <pic:cNvPicPr>
                      <a:picLocks noChangeAspect="1"/>
                    </pic:cNvPicPr>
                  </pic:nvPicPr>
                  <pic:blipFill>
                    <a:blip r:embed="rId7"/>
                    <a:stretch>
                      <a:fillRect/>
                    </a:stretch>
                  </pic:blipFill>
                  <pic:spPr>
                    <a:xfrm>
                      <a:off x="0" y="0"/>
                      <a:ext cx="5619750" cy="476250"/>
                    </a:xfrm>
                    <a:prstGeom prst="rect">
                      <a:avLst/>
                    </a:prstGeom>
                    <a:noFill/>
                    <a:ln w="9525">
                      <a:noFill/>
                    </a:ln>
                  </pic:spPr>
                </pic:pic>
              </a:graphicData>
            </a:graphic>
          </wp:inline>
        </w:drawing>
      </w:r>
    </w:p>
    <w:p>
      <w:pPr>
        <w:spacing w:line="400" w:lineRule="atLeast"/>
      </w:pPr>
      <w:r>
        <w:rPr>
          <w:rFonts w:hint="eastAsia"/>
        </w:rPr>
        <w:t xml:space="preserve">                                     （图1）</w:t>
      </w:r>
    </w:p>
    <w:p>
      <w:pPr>
        <w:spacing w:line="400" w:lineRule="atLeast"/>
      </w:pPr>
    </w:p>
    <w:p>
      <w:pPr>
        <w:spacing w:line="400" w:lineRule="atLeast"/>
      </w:pPr>
      <w:r>
        <w:rPr>
          <w:rFonts w:hint="eastAsia"/>
        </w:rPr>
        <w:t>二．进入登陆界面后，如图2-1所示，左边的公告信息栏显示交易会公告信息，用户在右边的登陆界面中输入操作员编号和密码即可进入系统。</w:t>
      </w:r>
    </w:p>
    <w:p>
      <w:pPr>
        <w:spacing w:line="400" w:lineRule="atLeast"/>
      </w:pPr>
      <w:r>
        <w:drawing>
          <wp:inline distT="0" distB="0" distL="114300" distR="114300">
            <wp:extent cx="5943600" cy="3219450"/>
            <wp:effectExtent l="0" t="0" r="0" b="0"/>
            <wp:docPr id="3" name="图片 2" descr="kai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kaishi"/>
                    <pic:cNvPicPr>
                      <a:picLocks noChangeAspect="1"/>
                    </pic:cNvPicPr>
                  </pic:nvPicPr>
                  <pic:blipFill>
                    <a:blip r:embed="rId8"/>
                    <a:stretch>
                      <a:fillRect/>
                    </a:stretch>
                  </pic:blipFill>
                  <pic:spPr>
                    <a:xfrm>
                      <a:off x="0" y="0"/>
                      <a:ext cx="5943600" cy="3219450"/>
                    </a:xfrm>
                    <a:prstGeom prst="rect">
                      <a:avLst/>
                    </a:prstGeom>
                    <a:noFill/>
                    <a:ln w="9525">
                      <a:noFill/>
                    </a:ln>
                  </pic:spPr>
                </pic:pic>
              </a:graphicData>
            </a:graphic>
          </wp:inline>
        </w:drawing>
      </w:r>
    </w:p>
    <w:p>
      <w:pPr>
        <w:spacing w:line="400" w:lineRule="atLeast"/>
      </w:pPr>
      <w:r>
        <w:rPr>
          <w:rFonts w:hint="eastAsia"/>
        </w:rPr>
        <w:t xml:space="preserve">                                       （图2-1）</w:t>
      </w:r>
    </w:p>
    <w:p>
      <w:pPr>
        <w:spacing w:line="400" w:lineRule="atLeast"/>
      </w:pPr>
    </w:p>
    <w:p>
      <w:pPr>
        <w:spacing w:line="400" w:lineRule="atLeast"/>
        <w:ind w:firstLine="420" w:firstLineChars="200"/>
      </w:pPr>
      <w:r>
        <w:rPr>
          <w:rFonts w:hint="eastAsia"/>
        </w:rPr>
        <w:t>注意：此时需保证交易密钥已插好，如若密钥未正确插入，则如图2-2中所示“警告：交易密钥未正确插入”，请正确插入密钥后再行登陆。</w:t>
      </w:r>
    </w:p>
    <w:p>
      <w:pPr>
        <w:spacing w:line="400" w:lineRule="atLeast"/>
      </w:pPr>
      <w:r>
        <w:rPr>
          <w:rFonts w:hint="eastAsia"/>
        </w:rPr>
        <w:drawing>
          <wp:inline distT="0" distB="0" distL="114300" distR="114300">
            <wp:extent cx="5542280" cy="1058545"/>
            <wp:effectExtent l="0" t="0" r="1270" b="825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a:stretch>
                      <a:fillRect/>
                    </a:stretch>
                  </pic:blipFill>
                  <pic:spPr>
                    <a:xfrm>
                      <a:off x="0" y="0"/>
                      <a:ext cx="5542280" cy="1058545"/>
                    </a:xfrm>
                    <a:prstGeom prst="rect">
                      <a:avLst/>
                    </a:prstGeom>
                    <a:noFill/>
                    <a:ln w="9525">
                      <a:noFill/>
                    </a:ln>
                  </pic:spPr>
                </pic:pic>
              </a:graphicData>
            </a:graphic>
          </wp:inline>
        </w:drawing>
      </w:r>
    </w:p>
    <w:p>
      <w:pPr>
        <w:spacing w:line="400" w:lineRule="atLeast"/>
      </w:pPr>
      <w:r>
        <w:rPr>
          <w:rFonts w:hint="eastAsia"/>
        </w:rPr>
        <w:t xml:space="preserve">                                        （图2-2）</w:t>
      </w:r>
    </w:p>
    <w:p>
      <w:pPr>
        <w:spacing w:line="400" w:lineRule="atLeast"/>
      </w:pPr>
      <w:r>
        <w:rPr>
          <w:rFonts w:hint="eastAsia"/>
        </w:rPr>
        <w:t>三．当用户成功登陆系统后，将显示图3所示界面，该界面由导航栏、公告栏和专场选择3部分组成。</w:t>
      </w:r>
    </w:p>
    <w:p>
      <w:pPr>
        <w:spacing w:line="400" w:lineRule="atLeast"/>
      </w:pPr>
      <w:r>
        <w:drawing>
          <wp:inline distT="0" distB="0" distL="114300" distR="114300">
            <wp:extent cx="5718175" cy="2693035"/>
            <wp:effectExtent l="0" t="0" r="15875" b="12065"/>
            <wp:docPr id="5" name="图片 4" descr="1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1 拷贝"/>
                    <pic:cNvPicPr>
                      <a:picLocks noChangeAspect="1"/>
                    </pic:cNvPicPr>
                  </pic:nvPicPr>
                  <pic:blipFill>
                    <a:blip r:embed="rId10"/>
                    <a:stretch>
                      <a:fillRect/>
                    </a:stretch>
                  </pic:blipFill>
                  <pic:spPr>
                    <a:xfrm>
                      <a:off x="0" y="0"/>
                      <a:ext cx="5718175" cy="2693035"/>
                    </a:xfrm>
                    <a:prstGeom prst="rect">
                      <a:avLst/>
                    </a:prstGeom>
                    <a:noFill/>
                    <a:ln w="9525">
                      <a:noFill/>
                    </a:ln>
                  </pic:spPr>
                </pic:pic>
              </a:graphicData>
            </a:graphic>
          </wp:inline>
        </w:drawing>
      </w:r>
    </w:p>
    <w:p>
      <w:pPr>
        <w:spacing w:line="400" w:lineRule="atLeast"/>
      </w:pPr>
      <w:r>
        <w:rPr>
          <w:rFonts w:hint="eastAsia"/>
        </w:rPr>
        <w:t xml:space="preserve">                                      （图3）</w:t>
      </w:r>
    </w:p>
    <w:p>
      <w:pPr>
        <w:numPr>
          <w:ilvl w:val="0"/>
          <w:numId w:val="1"/>
        </w:numPr>
        <w:spacing w:line="400" w:lineRule="atLeast"/>
      </w:pPr>
      <w:r>
        <w:rPr>
          <w:rFonts w:hint="eastAsia"/>
        </w:rPr>
        <w:t>导航栏：</w:t>
      </w:r>
    </w:p>
    <w:p>
      <w:pPr>
        <w:numPr>
          <w:ilvl w:val="0"/>
          <w:numId w:val="2"/>
        </w:numPr>
        <w:spacing w:line="400" w:lineRule="atLeast"/>
      </w:pPr>
      <w:r>
        <w:rPr>
          <w:rFonts w:hint="eastAsia"/>
        </w:rPr>
        <w:t>会员查询。 该下拉菜单有2个子菜单，如图4-1所示，分别为修改资料和修改密码，其中修改资料可修改操作员代号、身份证、联系电话等相关会员资料；会员应在注册后进入修改密码界面（图4-2）及时修改自己的密码，保护账号安全。</w:t>
      </w:r>
    </w:p>
    <w:p>
      <w:pPr>
        <w:spacing w:line="400" w:lineRule="atLeast"/>
        <w:ind w:firstLine="1470" w:firstLineChars="700"/>
      </w:pPr>
      <w:r>
        <w:drawing>
          <wp:inline distT="0" distB="0" distL="114300" distR="114300">
            <wp:extent cx="933450" cy="1200150"/>
            <wp:effectExtent l="0" t="0" r="0" b="0"/>
            <wp:docPr id="6" name="图片 5" descr="huiyu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huiyuan1"/>
                    <pic:cNvPicPr>
                      <a:picLocks noChangeAspect="1"/>
                    </pic:cNvPicPr>
                  </pic:nvPicPr>
                  <pic:blipFill>
                    <a:blip r:embed="rId11"/>
                    <a:stretch>
                      <a:fillRect/>
                    </a:stretch>
                  </pic:blipFill>
                  <pic:spPr>
                    <a:xfrm>
                      <a:off x="0" y="0"/>
                      <a:ext cx="933450" cy="1200150"/>
                    </a:xfrm>
                    <a:prstGeom prst="rect">
                      <a:avLst/>
                    </a:prstGeom>
                    <a:noFill/>
                    <a:ln w="9525">
                      <a:noFill/>
                    </a:ln>
                  </pic:spPr>
                </pic:pic>
              </a:graphicData>
            </a:graphic>
          </wp:inline>
        </w:drawing>
      </w:r>
      <w:r>
        <w:drawing>
          <wp:inline distT="0" distB="0" distL="114300" distR="114300">
            <wp:extent cx="3028950" cy="1805940"/>
            <wp:effectExtent l="0" t="0" r="0" b="3810"/>
            <wp:docPr id="7" name="图片 6" descr="huiyu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huiyuan2"/>
                    <pic:cNvPicPr>
                      <a:picLocks noChangeAspect="1"/>
                    </pic:cNvPicPr>
                  </pic:nvPicPr>
                  <pic:blipFill>
                    <a:blip r:embed="rId12"/>
                    <a:stretch>
                      <a:fillRect/>
                    </a:stretch>
                  </pic:blipFill>
                  <pic:spPr>
                    <a:xfrm>
                      <a:off x="0" y="0"/>
                      <a:ext cx="3028950" cy="1805940"/>
                    </a:xfrm>
                    <a:prstGeom prst="rect">
                      <a:avLst/>
                    </a:prstGeom>
                    <a:noFill/>
                    <a:ln w="9525">
                      <a:noFill/>
                    </a:ln>
                  </pic:spPr>
                </pic:pic>
              </a:graphicData>
            </a:graphic>
          </wp:inline>
        </w:drawing>
      </w:r>
    </w:p>
    <w:p>
      <w:pPr>
        <w:spacing w:line="400" w:lineRule="atLeast"/>
      </w:pPr>
      <w:r>
        <w:rPr>
          <w:rFonts w:hint="eastAsia"/>
        </w:rPr>
        <w:t xml:space="preserve">                （图4-1）                            （图4-2）</w:t>
      </w:r>
    </w:p>
    <w:p>
      <w:pPr>
        <w:numPr>
          <w:ilvl w:val="0"/>
          <w:numId w:val="2"/>
        </w:numPr>
        <w:spacing w:line="400" w:lineRule="atLeast"/>
      </w:pPr>
      <w:r>
        <w:rPr>
          <w:rFonts w:hint="eastAsia"/>
        </w:rPr>
        <w:t>资金查询。 该界面可查询会员当前手续费、保证金、剩余资金等资料（图5）</w:t>
      </w:r>
    </w:p>
    <w:p>
      <w:pPr>
        <w:spacing w:line="400" w:lineRule="atLeast"/>
        <w:ind w:firstLine="420" w:firstLineChars="200"/>
      </w:pPr>
      <w:r>
        <w:rPr>
          <w:rFonts w:hint="eastAsia"/>
        </w:rPr>
        <w:drawing>
          <wp:inline distT="0" distB="0" distL="114300" distR="114300">
            <wp:extent cx="5543550" cy="1524000"/>
            <wp:effectExtent l="0" t="0" r="0" b="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3"/>
                    <a:stretch>
                      <a:fillRect/>
                    </a:stretch>
                  </pic:blipFill>
                  <pic:spPr>
                    <a:xfrm>
                      <a:off x="0" y="0"/>
                      <a:ext cx="5543550" cy="1524000"/>
                    </a:xfrm>
                    <a:prstGeom prst="rect">
                      <a:avLst/>
                    </a:prstGeom>
                    <a:noFill/>
                    <a:ln w="9525">
                      <a:noFill/>
                    </a:ln>
                  </pic:spPr>
                </pic:pic>
              </a:graphicData>
            </a:graphic>
          </wp:inline>
        </w:drawing>
      </w:r>
    </w:p>
    <w:p>
      <w:pPr>
        <w:spacing w:line="400" w:lineRule="atLeast"/>
      </w:pPr>
      <w:r>
        <w:rPr>
          <w:rFonts w:hint="eastAsia"/>
        </w:rPr>
        <w:t xml:space="preserve">                                   （图5）</w:t>
      </w:r>
    </w:p>
    <w:p>
      <w:pPr>
        <w:numPr>
          <w:ilvl w:val="0"/>
          <w:numId w:val="2"/>
        </w:numPr>
        <w:spacing w:line="400" w:lineRule="atLeast"/>
      </w:pPr>
      <w:r>
        <w:rPr>
          <w:rFonts w:hint="eastAsia"/>
        </w:rPr>
        <w:t>交易查询。 可以查询该会员在我市场历史成交的所有成交纪录，价格等信息。（图6）</w:t>
      </w:r>
    </w:p>
    <w:p>
      <w:pPr>
        <w:spacing w:line="400" w:lineRule="atLeast"/>
      </w:pPr>
      <w:r>
        <w:drawing>
          <wp:inline distT="0" distB="0" distL="114300" distR="114300">
            <wp:extent cx="6057900" cy="1503680"/>
            <wp:effectExtent l="0" t="0" r="0" b="1270"/>
            <wp:docPr id="9" name="图片 8" descr="jiaoyichax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jiaoyichaxun"/>
                    <pic:cNvPicPr>
                      <a:picLocks noChangeAspect="1"/>
                    </pic:cNvPicPr>
                  </pic:nvPicPr>
                  <pic:blipFill>
                    <a:blip r:embed="rId14"/>
                    <a:stretch>
                      <a:fillRect/>
                    </a:stretch>
                  </pic:blipFill>
                  <pic:spPr>
                    <a:xfrm>
                      <a:off x="0" y="0"/>
                      <a:ext cx="6057900" cy="1503680"/>
                    </a:xfrm>
                    <a:prstGeom prst="rect">
                      <a:avLst/>
                    </a:prstGeom>
                    <a:noFill/>
                    <a:ln w="9525">
                      <a:noFill/>
                    </a:ln>
                  </pic:spPr>
                </pic:pic>
              </a:graphicData>
            </a:graphic>
          </wp:inline>
        </w:drawing>
      </w:r>
    </w:p>
    <w:p>
      <w:pPr>
        <w:spacing w:line="400" w:lineRule="atLeast"/>
      </w:pPr>
      <w:r>
        <w:rPr>
          <w:rFonts w:hint="eastAsia"/>
        </w:rPr>
        <w:t xml:space="preserve">                                       （图6）</w:t>
      </w:r>
    </w:p>
    <w:p>
      <w:pPr>
        <w:numPr>
          <w:ilvl w:val="0"/>
          <w:numId w:val="2"/>
        </w:numPr>
        <w:spacing w:line="400" w:lineRule="atLeast"/>
      </w:pPr>
      <w:r>
        <w:rPr>
          <w:rFonts w:hint="eastAsia"/>
        </w:rPr>
        <w:t>交易大厅主界面。 可查看市场交易信息并可选择专区进入交易界面</w:t>
      </w:r>
    </w:p>
    <w:p>
      <w:pPr>
        <w:spacing w:line="400" w:lineRule="atLeast"/>
        <w:ind w:left="-178" w:leftChars="-85" w:firstLine="176" w:firstLineChars="84"/>
      </w:pPr>
      <w:r>
        <w:drawing>
          <wp:inline distT="0" distB="0" distL="114300" distR="114300">
            <wp:extent cx="6167120" cy="685800"/>
            <wp:effectExtent l="0" t="0" r="5080" b="0"/>
            <wp:docPr id="10" name="图片 9" descr="gongg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gonggao"/>
                    <pic:cNvPicPr>
                      <a:picLocks noChangeAspect="1"/>
                    </pic:cNvPicPr>
                  </pic:nvPicPr>
                  <pic:blipFill>
                    <a:blip r:embed="rId15"/>
                    <a:stretch>
                      <a:fillRect/>
                    </a:stretch>
                  </pic:blipFill>
                  <pic:spPr>
                    <a:xfrm>
                      <a:off x="0" y="0"/>
                      <a:ext cx="6167120" cy="685800"/>
                    </a:xfrm>
                    <a:prstGeom prst="rect">
                      <a:avLst/>
                    </a:prstGeom>
                    <a:noFill/>
                    <a:ln w="9525">
                      <a:noFill/>
                    </a:ln>
                  </pic:spPr>
                </pic:pic>
              </a:graphicData>
            </a:graphic>
          </wp:inline>
        </w:drawing>
      </w:r>
    </w:p>
    <w:p>
      <w:pPr>
        <w:spacing w:line="400" w:lineRule="atLeast"/>
        <w:ind w:left="-178" w:leftChars="-85" w:firstLine="378" w:firstLineChars="180"/>
      </w:pPr>
      <w:r>
        <w:rPr>
          <w:rFonts w:hint="eastAsia"/>
        </w:rPr>
        <w:t>1）公告栏： 实时滚动提示专场须知，开始时间等相关信息。</w:t>
      </w:r>
    </w:p>
    <w:p>
      <w:pPr>
        <w:numPr>
          <w:ilvl w:val="0"/>
          <w:numId w:val="1"/>
        </w:numPr>
        <w:spacing w:line="400" w:lineRule="atLeast"/>
      </w:pPr>
      <w:r>
        <w:rPr>
          <w:rFonts w:hint="eastAsia"/>
        </w:rPr>
        <w:t>专场选择专区： 选择并进入即将开始的专场进行竞价交易。下面我们点击“</w:t>
      </w:r>
      <w:r>
        <w:fldChar w:fldCharType="begin"/>
      </w:r>
      <w:r>
        <w:instrText xml:space="preserve"> HYPERLINK "javascript:__doPostBack('SExchangeSpecial$_ctl4$SExChangeButton','')" </w:instrText>
      </w:r>
      <w:r>
        <w:fldChar w:fldCharType="separate"/>
      </w:r>
      <w:r>
        <w:t>福州粮食</w:t>
      </w:r>
      <w:bookmarkStart w:id="0" w:name="_Hlt236201739"/>
      <w:bookmarkEnd w:id="0"/>
      <w:bookmarkStart w:id="1" w:name="_Hlt236201736"/>
      <w:bookmarkEnd w:id="1"/>
      <w:bookmarkStart w:id="2" w:name="_Hlt236201749"/>
      <w:bookmarkEnd w:id="2"/>
      <w:bookmarkStart w:id="3" w:name="_Hlt236201735"/>
      <w:bookmarkEnd w:id="3"/>
      <w:r>
        <w:rPr>
          <w:rFonts w:hint="eastAsia"/>
        </w:rPr>
        <w:t>批</w:t>
      </w:r>
      <w:r>
        <w:t>发市场采购测试专场</w:t>
      </w:r>
      <w:r>
        <w:fldChar w:fldCharType="end"/>
      </w:r>
      <w:r>
        <w:rPr>
          <w:rFonts w:hint="eastAsia"/>
        </w:rPr>
        <w:t>”进入该专场进行下一步操作；</w:t>
      </w:r>
    </w:p>
    <w:p>
      <w:pPr>
        <w:spacing w:line="400" w:lineRule="atLeast"/>
        <w:ind w:firstLine="210" w:firstLineChars="100"/>
      </w:pPr>
      <w:r>
        <w:rPr>
          <w:rFonts w:hint="eastAsia"/>
        </w:rPr>
        <w:t>进入专场后将显示如图7所示界面</w:t>
      </w:r>
    </w:p>
    <w:p>
      <w:pPr>
        <w:numPr>
          <w:ilvl w:val="1"/>
          <w:numId w:val="1"/>
        </w:numPr>
        <w:spacing w:line="400" w:lineRule="atLeast"/>
      </w:pPr>
      <w:r>
        <w:rPr>
          <w:rFonts w:hint="eastAsia"/>
        </w:rPr>
        <w:t>应价信息栏。 显示相关应价信息、报价来源；</w:t>
      </w:r>
    </w:p>
    <w:p>
      <w:pPr>
        <w:numPr>
          <w:ilvl w:val="1"/>
          <w:numId w:val="1"/>
        </w:numPr>
        <w:spacing w:line="400" w:lineRule="atLeast"/>
      </w:pPr>
      <w:r>
        <w:rPr>
          <w:rFonts w:hint="eastAsia"/>
        </w:rPr>
        <w:t>委托书信息栏。 显示该委托书品种、数量、起点价格等相关信息；</w:t>
      </w:r>
    </w:p>
    <w:p>
      <w:pPr>
        <w:spacing w:line="400" w:lineRule="atLeast"/>
        <w:ind w:left="178" w:leftChars="85"/>
      </w:pPr>
      <w:r>
        <w:t>         </w:t>
      </w:r>
      <w:r>
        <w:rPr>
          <w:rFonts w:hint="eastAsia"/>
        </w:rPr>
        <w:t>c.应价信息栏。 显示投标最小价差，输入您希望竞标的价格，点击应价，并核对弹出对话框所显示应价信息是否是您输入的价格，若核对无误，点击确定按钮即可。</w:t>
      </w:r>
    </w:p>
    <w:p>
      <w:pPr>
        <w:spacing w:line="400" w:lineRule="atLeast"/>
      </w:pPr>
      <w:r>
        <w:rPr>
          <w:rFonts w:hint="eastAsia"/>
        </w:rPr>
        <w:drawing>
          <wp:inline distT="0" distB="0" distL="114300" distR="114300">
            <wp:extent cx="6167755" cy="3398520"/>
            <wp:effectExtent l="0" t="0" r="4445" b="11430"/>
            <wp:docPr id="11" name="图片 10" descr="未标题-3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未标题-3 拷贝"/>
                    <pic:cNvPicPr>
                      <a:picLocks noChangeAspect="1"/>
                    </pic:cNvPicPr>
                  </pic:nvPicPr>
                  <pic:blipFill>
                    <a:blip r:embed="rId16"/>
                    <a:stretch>
                      <a:fillRect/>
                    </a:stretch>
                  </pic:blipFill>
                  <pic:spPr>
                    <a:xfrm>
                      <a:off x="0" y="0"/>
                      <a:ext cx="6167755" cy="3398520"/>
                    </a:xfrm>
                    <a:prstGeom prst="rect">
                      <a:avLst/>
                    </a:prstGeom>
                    <a:noFill/>
                    <a:ln w="9525">
                      <a:noFill/>
                    </a:ln>
                  </pic:spPr>
                </pic:pic>
              </a:graphicData>
            </a:graphic>
          </wp:inline>
        </w:drawing>
      </w:r>
    </w:p>
    <w:p>
      <w:pPr>
        <w:spacing w:line="400" w:lineRule="atLeast"/>
      </w:pPr>
    </w:p>
    <w:p>
      <w:pPr>
        <w:spacing w:line="400" w:lineRule="atLeast"/>
        <w:jc w:val="center"/>
      </w:pPr>
      <w:r>
        <w:rPr>
          <w:rFonts w:hint="eastAsia"/>
        </w:rPr>
        <w:t>（图7）</w:t>
      </w:r>
    </w:p>
    <w:p>
      <w:pPr>
        <w:spacing w:line="400" w:lineRule="atLeast"/>
        <w:ind w:firstLine="420" w:firstLineChars="200"/>
      </w:pPr>
      <w:r>
        <w:rPr>
          <w:rFonts w:hint="eastAsia"/>
        </w:rPr>
        <w:t>下图中竞价刚刚开始，起点价格90元/百斤，当前最新价格也是90元/百斤；</w:t>
      </w:r>
    </w:p>
    <w:p>
      <w:pPr>
        <w:spacing w:line="400" w:lineRule="atLeast"/>
        <w:ind w:firstLine="420" w:firstLineChars="200"/>
      </w:pPr>
    </w:p>
    <w:p>
      <w:pPr>
        <w:spacing w:line="400" w:lineRule="atLeast"/>
      </w:pPr>
      <w:r>
        <w:drawing>
          <wp:inline distT="0" distB="0" distL="114300" distR="114300">
            <wp:extent cx="6056630" cy="2454275"/>
            <wp:effectExtent l="0" t="0" r="1270" b="3175"/>
            <wp:docPr id="12" name="图片 11" descr="zhuancha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zhuanchang2"/>
                    <pic:cNvPicPr>
                      <a:picLocks noChangeAspect="1"/>
                    </pic:cNvPicPr>
                  </pic:nvPicPr>
                  <pic:blipFill>
                    <a:blip r:embed="rId17"/>
                    <a:stretch>
                      <a:fillRect/>
                    </a:stretch>
                  </pic:blipFill>
                  <pic:spPr>
                    <a:xfrm>
                      <a:off x="0" y="0"/>
                      <a:ext cx="6056630" cy="2454275"/>
                    </a:xfrm>
                    <a:prstGeom prst="rect">
                      <a:avLst/>
                    </a:prstGeom>
                    <a:noFill/>
                    <a:ln w="9525">
                      <a:noFill/>
                    </a:ln>
                  </pic:spPr>
                </pic:pic>
              </a:graphicData>
            </a:graphic>
          </wp:inline>
        </w:drawing>
      </w:r>
    </w:p>
    <w:p>
      <w:pPr>
        <w:spacing w:line="400" w:lineRule="atLeast"/>
      </w:pPr>
    </w:p>
    <w:p>
      <w:pPr>
        <w:spacing w:line="400" w:lineRule="atLeast"/>
      </w:pPr>
    </w:p>
    <w:p>
      <w:pPr>
        <w:spacing w:line="400" w:lineRule="atLeast"/>
        <w:ind w:firstLine="435"/>
      </w:pPr>
      <w:r>
        <w:rPr>
          <w:rFonts w:hint="eastAsia"/>
        </w:rPr>
        <w:t>下图中会员号为05910001的会员应价91元，并应价成功；</w:t>
      </w:r>
    </w:p>
    <w:p>
      <w:pPr>
        <w:spacing w:line="400" w:lineRule="atLeast"/>
        <w:ind w:firstLine="420" w:firstLineChars="200"/>
      </w:pPr>
      <w:r>
        <w:rPr>
          <w:rFonts w:hint="eastAsia"/>
        </w:rPr>
        <w:drawing>
          <wp:inline distT="0" distB="0" distL="114300" distR="114300">
            <wp:extent cx="2360295" cy="1289050"/>
            <wp:effectExtent l="0" t="0" r="1905" b="6350"/>
            <wp:docPr id="14" name="图片 12"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descr="444"/>
                    <pic:cNvPicPr>
                      <a:picLocks noChangeAspect="1"/>
                    </pic:cNvPicPr>
                  </pic:nvPicPr>
                  <pic:blipFill>
                    <a:blip r:embed="rId18"/>
                    <a:stretch>
                      <a:fillRect/>
                    </a:stretch>
                  </pic:blipFill>
                  <pic:spPr>
                    <a:xfrm>
                      <a:off x="0" y="0"/>
                      <a:ext cx="2360295" cy="1289050"/>
                    </a:xfrm>
                    <a:prstGeom prst="rect">
                      <a:avLst/>
                    </a:prstGeom>
                    <a:noFill/>
                    <a:ln w="9525">
                      <a:noFill/>
                    </a:ln>
                  </pic:spPr>
                </pic:pic>
              </a:graphicData>
            </a:graphic>
          </wp:inline>
        </w:drawing>
      </w:r>
    </w:p>
    <w:p>
      <w:pPr>
        <w:spacing w:line="400" w:lineRule="atLeast"/>
        <w:ind w:firstLine="420" w:firstLineChars="200"/>
      </w:pPr>
    </w:p>
    <w:p>
      <w:pPr>
        <w:spacing w:line="400" w:lineRule="atLeast"/>
        <w:ind w:firstLine="420" w:firstLineChars="200"/>
      </w:pPr>
    </w:p>
    <w:p>
      <w:pPr>
        <w:spacing w:line="400" w:lineRule="atLeast"/>
        <w:ind w:firstLine="420" w:firstLineChars="200"/>
      </w:pPr>
    </w:p>
    <w:p>
      <w:pPr>
        <w:spacing w:line="400" w:lineRule="atLeast"/>
      </w:pPr>
      <w:r>
        <w:rPr>
          <w:rFonts w:hint="eastAsia"/>
        </w:rPr>
        <w:t>05910001应价91元，投标最小价差0.1元/百斤，系统提示最新应价应高于91.1元</w:t>
      </w:r>
    </w:p>
    <w:p>
      <w:pPr>
        <w:spacing w:line="400" w:lineRule="atLeast"/>
      </w:pPr>
    </w:p>
    <w:p>
      <w:pPr>
        <w:spacing w:line="400" w:lineRule="atLeast"/>
      </w:pPr>
      <w:r>
        <w:drawing>
          <wp:inline distT="0" distB="0" distL="114300" distR="114300">
            <wp:extent cx="6210300" cy="1952625"/>
            <wp:effectExtent l="0" t="0" r="0" b="9525"/>
            <wp:docPr id="15" name="图片 13" descr="zijiji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descr="zijijiage"/>
                    <pic:cNvPicPr>
                      <a:picLocks noChangeAspect="1"/>
                    </pic:cNvPicPr>
                  </pic:nvPicPr>
                  <pic:blipFill>
                    <a:blip r:embed="rId19"/>
                    <a:stretch>
                      <a:fillRect/>
                    </a:stretch>
                  </pic:blipFill>
                  <pic:spPr>
                    <a:xfrm>
                      <a:off x="0" y="0"/>
                      <a:ext cx="6210300" cy="1952625"/>
                    </a:xfrm>
                    <a:prstGeom prst="rect">
                      <a:avLst/>
                    </a:prstGeom>
                    <a:noFill/>
                    <a:ln w="9525">
                      <a:noFill/>
                    </a:ln>
                  </pic:spPr>
                </pic:pic>
              </a:graphicData>
            </a:graphic>
          </wp:inline>
        </w:drawing>
      </w:r>
    </w:p>
    <w:p>
      <w:pPr>
        <w:spacing w:line="400" w:lineRule="atLeast"/>
      </w:pPr>
    </w:p>
    <w:p>
      <w:pPr>
        <w:spacing w:line="400" w:lineRule="atLeast"/>
      </w:pPr>
    </w:p>
    <w:p>
      <w:pPr>
        <w:spacing w:line="400" w:lineRule="atLeast"/>
        <w:ind w:firstLine="435"/>
      </w:pPr>
      <w:r>
        <w:rPr>
          <w:rFonts w:hint="eastAsia"/>
        </w:rPr>
        <w:t>如有人继续应价，则继续如上过程，如无人应价，则出现下图情况，会员号为05910001的会员竞得该标的，成交价格为91元/百斤。</w:t>
      </w:r>
    </w:p>
    <w:p>
      <w:pPr>
        <w:spacing w:line="400" w:lineRule="atLeast"/>
      </w:pPr>
      <w:r>
        <w:drawing>
          <wp:inline distT="0" distB="0" distL="114300" distR="114300">
            <wp:extent cx="6057900" cy="2492375"/>
            <wp:effectExtent l="0" t="0" r="0" b="3175"/>
            <wp:docPr id="16" name="图片 14" descr="zhongbi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 descr="zhongbiao"/>
                    <pic:cNvPicPr>
                      <a:picLocks noChangeAspect="1"/>
                    </pic:cNvPicPr>
                  </pic:nvPicPr>
                  <pic:blipFill>
                    <a:blip r:embed="rId20"/>
                    <a:stretch>
                      <a:fillRect/>
                    </a:stretch>
                  </pic:blipFill>
                  <pic:spPr>
                    <a:xfrm>
                      <a:off x="0" y="0"/>
                      <a:ext cx="6057900" cy="2492375"/>
                    </a:xfrm>
                    <a:prstGeom prst="rect">
                      <a:avLst/>
                    </a:prstGeom>
                    <a:noFill/>
                    <a:ln w="9525">
                      <a:noFill/>
                    </a:ln>
                  </pic:spPr>
                </pic:pic>
              </a:graphicData>
            </a:graphic>
          </wp:inline>
        </w:drawing>
      </w:r>
    </w:p>
    <w:p>
      <w:pPr>
        <w:spacing w:line="400" w:lineRule="atLeast"/>
      </w:pPr>
    </w:p>
    <w:p>
      <w:pPr>
        <w:spacing w:line="400" w:lineRule="atLeast"/>
      </w:pPr>
    </w:p>
    <w:p>
      <w:pPr>
        <w:spacing w:line="400" w:lineRule="atLeast"/>
        <w:rPr>
          <w:b/>
          <w:sz w:val="30"/>
        </w:rPr>
      </w:pPr>
      <w:r>
        <w:rPr>
          <w:rFonts w:hint="eastAsia"/>
          <w:b/>
          <w:sz w:val="30"/>
        </w:rPr>
        <w:t>对交易大厅操作如有疑问者，可拨打0591-22627238或0591-22627830进行咨询。</w:t>
      </w:r>
    </w:p>
    <w:p/>
    <w:p/>
    <w:p/>
    <w:p/>
    <w:p/>
    <w:p/>
    <w:p/>
    <w:p/>
    <w:p>
      <w:pPr>
        <w:shd w:val="clear" w:color="auto" w:fill="FFFFFF"/>
        <w:snapToGrid w:val="0"/>
        <w:spacing w:line="360" w:lineRule="auto"/>
        <w:jc w:val="center"/>
        <w:rPr>
          <w:rFonts w:ascii="仿宋_GB2312" w:eastAsia="仿宋_GB2312"/>
          <w:b/>
          <w:spacing w:val="-18"/>
          <w:sz w:val="47"/>
        </w:rPr>
      </w:pPr>
      <w:r>
        <w:rPr>
          <w:rFonts w:hint="eastAsia" w:ascii="仿宋_GB2312" w:eastAsia="仿宋_GB2312"/>
          <w:b/>
          <w:spacing w:val="-18"/>
          <w:sz w:val="47"/>
        </w:rPr>
        <w:t>福州粮食批发交易市场网上交易观摩系统</w:t>
      </w:r>
    </w:p>
    <w:p>
      <w:pPr>
        <w:shd w:val="clear" w:color="auto" w:fill="FFFFFF"/>
        <w:snapToGrid w:val="0"/>
        <w:spacing w:line="360" w:lineRule="auto"/>
        <w:jc w:val="center"/>
        <w:rPr>
          <w:rFonts w:ascii="Calibri" w:hAnsi="Calibri" w:cs="Arial"/>
          <w:b/>
          <w:bCs/>
          <w:szCs w:val="21"/>
        </w:rPr>
      </w:pPr>
      <w:r>
        <w:rPr>
          <w:rFonts w:hint="eastAsia" w:ascii="仿宋_GB2312" w:eastAsia="仿宋_GB2312"/>
          <w:b/>
          <w:sz w:val="47"/>
        </w:rPr>
        <w:t>使用说明</w:t>
      </w:r>
    </w:p>
    <w:p>
      <w:pPr>
        <w:pStyle w:val="6"/>
        <w:numPr>
          <w:ilvl w:val="0"/>
          <w:numId w:val="3"/>
        </w:numPr>
        <w:shd w:val="clear" w:color="auto" w:fill="FFFFFF"/>
        <w:snapToGrid w:val="0"/>
        <w:spacing w:line="360" w:lineRule="auto"/>
        <w:jc w:val="both"/>
        <w:rPr>
          <w:rFonts w:ascii="宋体" w:hAnsi="宋体" w:eastAsia="宋体" w:cs="??"/>
          <w:sz w:val="21"/>
          <w:szCs w:val="21"/>
        </w:rPr>
      </w:pPr>
      <w:r>
        <w:rPr>
          <w:rFonts w:hint="eastAsia" w:ascii="宋体" w:hAnsi="宋体" w:eastAsia="宋体" w:cs="??"/>
          <w:sz w:val="21"/>
          <w:szCs w:val="21"/>
        </w:rPr>
        <w:t>打开</w:t>
      </w:r>
      <w:r>
        <w:rPr>
          <w:rFonts w:ascii="宋体" w:hAnsi="宋体" w:eastAsia="宋体" w:cs="??"/>
          <w:sz w:val="21"/>
          <w:szCs w:val="21"/>
        </w:rPr>
        <w:t>IE浏览器，</w:t>
      </w:r>
      <w:r>
        <w:rPr>
          <w:rFonts w:hint="eastAsia" w:ascii="宋体" w:hAnsi="宋体" w:eastAsia="宋体" w:cs="??"/>
          <w:sz w:val="21"/>
          <w:szCs w:val="21"/>
        </w:rPr>
        <w:t>进入</w:t>
      </w:r>
      <w:r>
        <w:rPr>
          <w:rFonts w:ascii="宋体" w:hAnsi="宋体" w:eastAsia="宋体" w:cs="??"/>
          <w:sz w:val="21"/>
          <w:szCs w:val="21"/>
        </w:rPr>
        <w:t>榕粮网主页：</w:t>
      </w:r>
      <w:r>
        <w:fldChar w:fldCharType="begin"/>
      </w:r>
      <w:r>
        <w:instrText xml:space="preserve"> HYPERLINK "http://www.fzgrain.com" </w:instrText>
      </w:r>
      <w:r>
        <w:fldChar w:fldCharType="separate"/>
      </w:r>
      <w:r>
        <w:rPr>
          <w:rFonts w:ascii="宋体" w:hAnsi="宋体" w:eastAsia="宋体" w:cs="??"/>
          <w:sz w:val="21"/>
          <w:szCs w:val="21"/>
        </w:rPr>
        <w:t>http://www.fzgrain.com</w:t>
      </w:r>
      <w:r>
        <w:rPr>
          <w:rFonts w:ascii="宋体" w:hAnsi="宋体" w:eastAsia="宋体" w:cs="??"/>
          <w:sz w:val="21"/>
          <w:szCs w:val="21"/>
        </w:rPr>
        <w:fldChar w:fldCharType="end"/>
      </w:r>
      <w:r>
        <w:rPr>
          <w:rFonts w:hint="eastAsia" w:ascii="宋体" w:hAnsi="宋体" w:eastAsia="宋体" w:cs="??"/>
          <w:sz w:val="21"/>
          <w:szCs w:val="21"/>
        </w:rPr>
        <w:t>，点击导航栏中的“交</w:t>
      </w:r>
      <w:r>
        <w:rPr>
          <w:rFonts w:hint="eastAsia" w:ascii="Times New Roman" w:hAnsi="Times New Roman" w:eastAsia="宋体"/>
          <w:sz w:val="21"/>
          <w:szCs w:val="21"/>
        </w:rPr>
        <w:t>易大厅”按钮</w:t>
      </w:r>
      <w:r>
        <w:rPr>
          <w:rFonts w:ascii="Times New Roman" w:hAnsi="Times New Roman" w:eastAsia="宋体"/>
          <w:sz w:val="21"/>
          <w:szCs w:val="21"/>
        </w:rPr>
        <w:t>，进入</w:t>
      </w:r>
      <w:r>
        <w:rPr>
          <w:rFonts w:hint="eastAsia" w:ascii="Times New Roman" w:hAnsi="Times New Roman" w:eastAsia="宋体"/>
          <w:sz w:val="21"/>
          <w:szCs w:val="21"/>
        </w:rPr>
        <w:t>电子竞价系统界面。</w:t>
      </w:r>
      <w:r>
        <w:rPr>
          <w:rFonts w:hint="eastAsia" w:ascii="宋体" w:hAnsi="宋体" w:eastAsia="宋体" w:cs="??"/>
          <w:sz w:val="21"/>
          <w:szCs w:val="21"/>
        </w:rPr>
        <w:t>（如图</w:t>
      </w:r>
      <w:r>
        <w:rPr>
          <w:rFonts w:ascii="宋体" w:hAnsi="宋体" w:eastAsia="宋体" w:cs="??"/>
          <w:sz w:val="21"/>
          <w:szCs w:val="21"/>
        </w:rPr>
        <w:t>1）</w:t>
      </w:r>
      <w:r>
        <w:rPr>
          <w:rFonts w:ascii="宋体" w:hAnsi="宋体" w:eastAsia="宋体" w:cs="??"/>
          <w:sz w:val="21"/>
          <w:szCs w:val="21"/>
        </w:rPr>
        <w:br w:type="textWrapping"/>
      </w:r>
      <w:r>
        <w:rPr>
          <w:sz w:val="21"/>
          <w:szCs w:val="21"/>
        </w:rPr>
        <w:drawing>
          <wp:inline distT="0" distB="0" distL="114300" distR="114300">
            <wp:extent cx="4975225" cy="333375"/>
            <wp:effectExtent l="0" t="0" r="15875" b="9525"/>
            <wp:docPr id="18" name="图片 15" desc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descr="cs"/>
                    <pic:cNvPicPr>
                      <a:picLocks noChangeAspect="1"/>
                    </pic:cNvPicPr>
                  </pic:nvPicPr>
                  <pic:blipFill>
                    <a:blip r:embed="rId21"/>
                    <a:stretch>
                      <a:fillRect/>
                    </a:stretch>
                  </pic:blipFill>
                  <pic:spPr>
                    <a:xfrm>
                      <a:off x="0" y="0"/>
                      <a:ext cx="4975225" cy="333375"/>
                    </a:xfrm>
                    <a:prstGeom prst="rect">
                      <a:avLst/>
                    </a:prstGeom>
                    <a:noFill/>
                    <a:ln w="9525">
                      <a:noFill/>
                    </a:ln>
                  </pic:spPr>
                </pic:pic>
              </a:graphicData>
            </a:graphic>
          </wp:inline>
        </w:drawing>
      </w:r>
      <w:r>
        <w:rPr>
          <w:rFonts w:hint="eastAsia"/>
          <w:sz w:val="21"/>
          <w:szCs w:val="21"/>
        </w:rPr>
        <w:br w:type="textWrapping"/>
      </w:r>
      <w:r>
        <w:rPr>
          <w:rFonts w:hint="eastAsia" w:ascii="宋体" w:hAnsi="宋体" w:eastAsia="宋体" w:cs="??"/>
          <w:sz w:val="21"/>
          <w:szCs w:val="21"/>
        </w:rPr>
        <w:t xml:space="preserve">                                 （图</w:t>
      </w:r>
      <w:r>
        <w:rPr>
          <w:rFonts w:ascii="宋体" w:hAnsi="宋体" w:eastAsia="宋体" w:cs="??"/>
          <w:sz w:val="21"/>
          <w:szCs w:val="21"/>
        </w:rPr>
        <w:t>1）</w:t>
      </w:r>
    </w:p>
    <w:p>
      <w:pPr>
        <w:pStyle w:val="6"/>
        <w:shd w:val="clear" w:color="auto" w:fill="FFFFFF"/>
        <w:snapToGrid w:val="0"/>
        <w:rPr>
          <w:rFonts w:ascii="宋体" w:hAnsi="宋体" w:eastAsia="宋体" w:cs="??"/>
          <w:sz w:val="21"/>
          <w:szCs w:val="21"/>
        </w:rPr>
      </w:pPr>
      <w:r>
        <w:rPr>
          <w:rFonts w:ascii="宋体" w:hAnsi="宋体" w:eastAsia="宋体" w:cs="??"/>
          <w:sz w:val="21"/>
          <w:szCs w:val="21"/>
        </w:rPr>
        <w:pict>
          <v:shape id="_x0000_s1026" o:spid="_x0000_s1026" o:spt="100" alt="http://www.fzgrain.com/jyh/2013/8.30/cl/images/wsjysm_clip_image001.jpg" style="position:absolute;left:0pt;margin-left:0pt;margin-top:0pt;height:37.5pt;width:442.5pt;z-index:251658240;mso-width-relative:page;mso-height-relative:page;" filled="f" stroked="f" coordsize="21600,21600" o:gfxdata="UEsDBAoAAAAAAIdO4kAAAAAAAAAAAAAAAAAEAAAAZHJzL1BLAwQUAAAACACHTuJAwrudfNMAAAAE&#10;AQAADwAAAGRycy9kb3ducmV2LnhtbE2PzU7DQAyE70i8w8pI3OimRbRRiFNBJBAXQC08wCZrkpSs&#10;d5Xd/vD2GC5wsTUaa/xNuT65UR1oioNnhPksA0Xcejtwh/D+9nCVg4rJsDWjZ0L4ogjr6vysNIX1&#10;R97QYZs6JSEcC4PQpxQKrWPbkzNx5gOxeB9+ciaJnDptJ3OUcDfqRZYttTMDy4feBKp7aj+3e4fw&#10;srtr6senxcrV12npd2HzHF7vES8v5tktqESn9HcMP/iCDpUwNX7PNqoRQYqk3ylent+IbBBWsnVV&#10;6v/w1TdQSwMEFAAAAAgAh07iQA8XqwwBAgAA2AMAAA4AAABkcnMvZTJvRG9jLnhtbK1TzW4TMRC+&#10;I/EOlu+sNylJm1U2VUVVLhVUKpwr1+vddfCfPE424cQN8Qy9ceQd4G0qwVsw62xCW26Ii2XPeD5/&#10;833j+enGaLKWAZSzJR1lOSXSClcp25T0/buLFyeUQOS24tpZWdKtBHq6eP5s3vlCjl3rdCUDQRAL&#10;RedL2sboC8ZAtNJwyJyXFpO1C4ZHPIaGVYF3iG40G+f5lHUuVD44IQEwer5L0kXCr2sp4tu6BhmJ&#10;Lilyi2kNab3tV7aY86IJ3LdKDDT4P7AwXFl89AB1ziMnq6D+gjJKBAeujplwhrm6VkKmHrCbUf6k&#10;m+uWe5l6QXHAH2SC/wcr3qyvAlEVejejxHKDHv38/O3Xpy/3dz/uv38lY0oqCQIlG6zpui6rP6Jk&#10;yqYeltu2537ETrKjnAnNlOGNBNbBcgvmRmjlb1Ioz0fZ0je95J2HAl++9lehFw38pRMfgFj3quW2&#10;kWfg0Tik1N9ljy73BxjKNnUwfTmqSDbJ0u3BUrmJRGBwMh3NjifovMDcy+PpGPc9KC/21WIF8bV0&#10;CYmvLyHuRqLCXTK0GlQ5G1FSG43Tseaa7CfnkEWdnmTxjWaPwts9sNjY/dbzOITx6kMa1l0orRMP&#10;bUlX0tlkPEnjdchghbaDODs9emVuXbVFO1c+qKZ9JCCOT+p6GPV+Ph+eE9KfD7n4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K7nXzTAAAABAEAAA8AAAAAAAAAAQAgAAAAIgAAAGRycy9kb3ducmV2&#10;LnhtbFBLAQIUABQAAAAIAIdO4kAPF6sMAQIAANgDAAAOAAAAAAAAAAEAIAAAACIBAABkcnMvZTJv&#10;RG9jLnhtbFBLBQYAAAAABgAGAFkBAACVBQAAAAA=&#10;" adj=",,">
            <v:fill on="f" focussize="0,0"/>
            <v:stroke on="f"/>
            <v:imagedata o:title=""/>
            <o:lock v:ext="edit" aspectratio="t"/>
          </v:shape>
        </w:pict>
      </w:r>
      <w:r>
        <w:rPr>
          <w:rFonts w:hint="eastAsia" w:ascii="宋体" w:hAnsi="宋体" w:eastAsia="宋体" w:cs="??"/>
          <w:sz w:val="21"/>
          <w:szCs w:val="21"/>
        </w:rPr>
        <w:t>二、进入电子竞价系统界面，</w:t>
      </w:r>
      <w:r>
        <w:rPr>
          <w:rFonts w:ascii="宋体" w:hAnsi="宋体" w:eastAsia="宋体" w:cs="??"/>
          <w:sz w:val="21"/>
          <w:szCs w:val="21"/>
        </w:rPr>
        <w:t>点击</w:t>
      </w:r>
      <w:r>
        <w:rPr>
          <w:rFonts w:hint="eastAsia" w:ascii="宋体" w:hAnsi="宋体" w:eastAsia="宋体" w:cs="??"/>
          <w:sz w:val="21"/>
          <w:szCs w:val="21"/>
        </w:rPr>
        <w:t>“电子竞价交易观摩”按钮。（如图</w:t>
      </w:r>
      <w:r>
        <w:rPr>
          <w:rFonts w:ascii="宋体" w:hAnsi="宋体" w:eastAsia="宋体" w:cs="??"/>
          <w:sz w:val="21"/>
          <w:szCs w:val="21"/>
        </w:rPr>
        <w:t>2</w:t>
      </w:r>
      <w:r>
        <w:rPr>
          <w:rFonts w:hint="eastAsia" w:ascii="宋体" w:hAnsi="宋体" w:eastAsia="宋体" w:cs="??"/>
          <w:sz w:val="21"/>
          <w:szCs w:val="21"/>
        </w:rPr>
        <w:t>）</w:t>
      </w:r>
    </w:p>
    <w:p>
      <w:pPr>
        <w:pStyle w:val="6"/>
        <w:shd w:val="clear" w:color="auto" w:fill="FFFFFF"/>
        <w:snapToGrid w:val="0"/>
        <w:spacing w:line="360" w:lineRule="auto"/>
        <w:ind w:firstLine="1680" w:firstLineChars="800"/>
        <w:rPr>
          <w:rFonts w:ascii="宋体" w:hAnsi="宋体" w:eastAsia="宋体" w:cs="??"/>
          <w:sz w:val="21"/>
          <w:szCs w:val="21"/>
        </w:rPr>
      </w:pPr>
      <w:r>
        <w:rPr>
          <w:rFonts w:ascii="宋体" w:hAnsi="宋体" w:eastAsia="宋体" w:cs="??"/>
          <w:sz w:val="21"/>
          <w:szCs w:val="21"/>
        </w:rPr>
        <w:drawing>
          <wp:inline distT="0" distB="0" distL="114300" distR="114300">
            <wp:extent cx="3594735" cy="2341880"/>
            <wp:effectExtent l="0" t="0" r="5715" b="1270"/>
            <wp:docPr id="20" name="图片 16" descr="gg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6" descr="ggggg"/>
                    <pic:cNvPicPr>
                      <a:picLocks noChangeAspect="1"/>
                    </pic:cNvPicPr>
                  </pic:nvPicPr>
                  <pic:blipFill>
                    <a:blip r:embed="rId22"/>
                    <a:stretch>
                      <a:fillRect/>
                    </a:stretch>
                  </pic:blipFill>
                  <pic:spPr>
                    <a:xfrm>
                      <a:off x="0" y="0"/>
                      <a:ext cx="3594735" cy="2341880"/>
                    </a:xfrm>
                    <a:prstGeom prst="rect">
                      <a:avLst/>
                    </a:prstGeom>
                    <a:noFill/>
                    <a:ln w="9525">
                      <a:noFill/>
                    </a:ln>
                  </pic:spPr>
                </pic:pic>
              </a:graphicData>
            </a:graphic>
          </wp:inline>
        </w:drawing>
      </w:r>
      <w:r>
        <w:rPr>
          <w:rFonts w:ascii="宋体" w:hAnsi="宋体" w:eastAsia="宋体" w:cs="??"/>
          <w:sz w:val="21"/>
          <w:szCs w:val="21"/>
        </w:rPr>
        <w:br w:type="textWrapping"/>
      </w:r>
      <w:r>
        <w:rPr>
          <w:rFonts w:ascii="宋体" w:hAnsi="宋体" w:eastAsia="宋体" w:cs="??"/>
          <w:sz w:val="21"/>
          <w:szCs w:val="21"/>
        </w:rPr>
        <w:pict>
          <v:shape id="_x0000_s1027" o:spid="_x0000_s1027" o:spt="100" style="position:absolute;left:0pt;margin-left:0pt;margin-top:0pt;height:274.2pt;width:364.5pt;z-index:251659264;mso-width-relative:page;mso-height-relative:page;" filled="f" stroked="f" coordsize="21600,21600" o:gfxdata="UEsDBAoAAAAAAIdO4kAAAAAAAAAAAAAAAAAEAAAAZHJzL1BLAwQUAAAACACHTuJAs1Ybp9QAAAAF&#10;AQAADwAAAGRycy9kb3ducmV2LnhtbE2PwU7DMBBE70j8g7VIXBC1UxXapnF6QGqRuLXwAdt4m0TE&#10;6yh228DXs3Chl5FGs5p5W6xH36kzDbENbCGbGFDEVXAt1xY+3jePC1AxITvsApOFL4qwLm9vCsxd&#10;uPCOzvtUKynhmKOFJqU+1zpWDXmMk9ATS3YMg8ckdqi1G/Ai5b7TU2OetceWZaHBnl4aqj73J28h&#10;jX77UJntHDeGj7tswFf8frP2/i4zK1CJxvR/DL/4gg6lMB3CiV1UnQV5JP2pZPPpUuzBwtNsMQNd&#10;FvqavvwBUEsDBBQAAAAIAIdO4kA2UunSygEAAIkDAAAOAAAAZHJzL2Uyb0RvYy54bWytU0tu2zAU&#10;3BfoHQjua9myHSSC5SBokG6CNkDaA7xQpESUP5C0Ze+6K3qG7rrsHZrbBGhvkSdaUuJmV3RDkO8z&#10;fDNDrs53WpEt90FaU9LZZEoJN8xW0tQl/fTx6s0pJSGCqUBZw0u654Ger1+/WrWu4LltrKq4Jwhi&#10;QtG6kjYxuiLLAmu4hjCxjhtMCus1RDz6Oqs8tIiuVZZPpydZa33lvGU8BIxeHpJ0nfCF4Cx+ECLw&#10;SFRJcbaYVp/Wu27N1isoag+ukawfA/5hCg3S4KUj1CVEIBsvX0BpybwNVsQJszqzQkjGEwdkM5v+&#10;xea2AccTFxQnuFGm8P9g2fvtjSeyKmk+o8SARo9+f/3558u3h+/3D79+kHknUetCgZW37sZ3JIO7&#10;tuxzIMa+bcDU/CI4FBrt72qzo+LuEPq2nfC6a0fWZJcs2I8W8F0kDIOLk/xstkSnGObmi9N8vkgm&#10;ZVAM7WwT4jtuExRsr0M8eFjhLjlQ9TQukJDQCu3cgiKD1WM2f5HFO+oBBZoBmO3MsHUQ+zCWPh/D&#10;2CupVJpDGdKW9GyZL9N7GDPYoUyvzkGQTpo7W+1R/43zsm6OFES/sfroQT0/J6SnH7R+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NWG6fUAAAABQEAAA8AAAAAAAAAAQAgAAAAIgAAAGRycy9kb3du&#10;cmV2LnhtbFBLAQIUABQAAAAIAIdO4kA2UunSygEAAIkDAAAOAAAAAAAAAAEAIAAAACMBAABkcnMv&#10;ZTJvRG9jLnhtbFBLBQYAAAAABgAGAFkBAABfBQAAAAA=&#10;" adj=",,">
            <v:fill on="f" focussize="0,0"/>
            <v:stroke on="f"/>
            <v:imagedata o:title=""/>
            <o:lock v:ext="edit" aspectratio="t"/>
          </v:shape>
        </w:pict>
      </w:r>
      <w:r>
        <w:rPr>
          <w:rFonts w:hint="eastAsia" w:ascii="宋体" w:hAnsi="宋体" w:eastAsia="宋体" w:cs="??"/>
          <w:sz w:val="21"/>
          <w:szCs w:val="21"/>
        </w:rPr>
        <w:t xml:space="preserve">                                      （图</w:t>
      </w:r>
      <w:r>
        <w:rPr>
          <w:rFonts w:ascii="宋体" w:hAnsi="宋体" w:eastAsia="宋体" w:cs="??"/>
          <w:sz w:val="21"/>
          <w:szCs w:val="21"/>
        </w:rPr>
        <w:t>2）</w:t>
      </w:r>
    </w:p>
    <w:p>
      <w:pPr>
        <w:shd w:val="clear" w:color="auto" w:fill="FFFFFF"/>
        <w:snapToGrid w:val="0"/>
        <w:ind w:left="525" w:hanging="525" w:hangingChars="250"/>
        <w:rPr>
          <w:rFonts w:ascii="宋体" w:hAnsi="宋体" w:cs="Arial"/>
          <w:szCs w:val="21"/>
        </w:rPr>
      </w:pPr>
      <w:r>
        <w:rPr>
          <w:rFonts w:hint="eastAsia" w:ascii="宋体" w:hAnsi="宋体" w:cs="??"/>
          <w:szCs w:val="21"/>
        </w:rPr>
        <w:t>三、 进入福建省福州粮食批发交易市场电子竞价交易观摩系统登录界面，输入用户名和密码，点击“登录”按钮即可进入系统。（如图</w:t>
      </w:r>
      <w:r>
        <w:rPr>
          <w:rFonts w:hint="eastAsia" w:ascii="宋体" w:hAnsi="宋体"/>
          <w:szCs w:val="21"/>
        </w:rPr>
        <w:t>3）</w:t>
      </w:r>
    </w:p>
    <w:p>
      <w:pPr>
        <w:rPr>
          <w:szCs w:val="21"/>
        </w:rPr>
      </w:pPr>
      <w:r>
        <w:rPr>
          <w:szCs w:val="21"/>
        </w:rPr>
        <w:drawing>
          <wp:inline distT="0" distB="0" distL="114300" distR="114300">
            <wp:extent cx="5270500" cy="1886585"/>
            <wp:effectExtent l="0" t="0" r="6350" b="18415"/>
            <wp:docPr id="22" name="图片 17"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7" descr="未标题-1"/>
                    <pic:cNvPicPr>
                      <a:picLocks noChangeAspect="1"/>
                    </pic:cNvPicPr>
                  </pic:nvPicPr>
                  <pic:blipFill>
                    <a:blip r:embed="rId23"/>
                    <a:stretch>
                      <a:fillRect/>
                    </a:stretch>
                  </pic:blipFill>
                  <pic:spPr>
                    <a:xfrm>
                      <a:off x="0" y="0"/>
                      <a:ext cx="5270500" cy="1886585"/>
                    </a:xfrm>
                    <a:prstGeom prst="rect">
                      <a:avLst/>
                    </a:prstGeom>
                    <a:noFill/>
                    <a:ln w="9525">
                      <a:noFill/>
                    </a:ln>
                  </pic:spPr>
                </pic:pic>
              </a:graphicData>
            </a:graphic>
          </wp:inline>
        </w:drawing>
      </w:r>
    </w:p>
    <w:p>
      <w:pPr>
        <w:pStyle w:val="6"/>
        <w:shd w:val="clear" w:color="auto" w:fill="FFFFFF"/>
        <w:snapToGrid w:val="0"/>
        <w:spacing w:line="360" w:lineRule="auto"/>
        <w:ind w:left="420" w:hanging="420"/>
        <w:jc w:val="center"/>
        <w:rPr>
          <w:rFonts w:ascii="宋体" w:hAnsi="宋体" w:eastAsia="宋体" w:cs="??"/>
          <w:sz w:val="21"/>
          <w:szCs w:val="21"/>
        </w:rPr>
      </w:pPr>
      <w:r>
        <w:rPr>
          <w:rFonts w:hint="eastAsia" w:ascii="宋体" w:hAnsi="宋体" w:eastAsia="宋体" w:cs="??"/>
          <w:sz w:val="21"/>
          <w:szCs w:val="21"/>
        </w:rPr>
        <w:t>（图</w:t>
      </w:r>
      <w:r>
        <w:rPr>
          <w:rFonts w:ascii="宋体" w:hAnsi="宋体" w:eastAsia="宋体" w:cs="??"/>
          <w:sz w:val="21"/>
          <w:szCs w:val="21"/>
        </w:rPr>
        <w:t>3）</w:t>
      </w:r>
    </w:p>
    <w:p>
      <w:pPr>
        <w:ind w:left="315" w:hanging="315" w:hangingChars="150"/>
        <w:rPr>
          <w:szCs w:val="21"/>
        </w:rPr>
      </w:pPr>
      <w:r>
        <w:rPr>
          <w:rFonts w:hint="eastAsia"/>
          <w:szCs w:val="21"/>
        </w:rPr>
        <w:t>四、</w:t>
      </w:r>
      <w:r>
        <w:rPr>
          <w:szCs w:val="21"/>
        </w:rPr>
        <w:t>用户成功登</w:t>
      </w:r>
      <w:r>
        <w:rPr>
          <w:rFonts w:hint="eastAsia"/>
          <w:szCs w:val="21"/>
        </w:rPr>
        <w:t>录</w:t>
      </w:r>
      <w:r>
        <w:rPr>
          <w:szCs w:val="21"/>
        </w:rPr>
        <w:t>后，系统将显示图</w:t>
      </w:r>
      <w:r>
        <w:rPr>
          <w:rFonts w:hint="eastAsia"/>
          <w:szCs w:val="21"/>
        </w:rPr>
        <w:t>4</w:t>
      </w:r>
      <w:r>
        <w:rPr>
          <w:szCs w:val="21"/>
        </w:rPr>
        <w:t>所示界面，该界面由</w:t>
      </w:r>
      <w:r>
        <w:rPr>
          <w:rFonts w:hint="eastAsia"/>
          <w:szCs w:val="21"/>
        </w:rPr>
        <w:t>节目观看</w:t>
      </w:r>
      <w:r>
        <w:rPr>
          <w:szCs w:val="21"/>
        </w:rPr>
        <w:t>、</w:t>
      </w:r>
      <w:r>
        <w:rPr>
          <w:rFonts w:hint="eastAsia"/>
          <w:szCs w:val="21"/>
        </w:rPr>
        <w:t>播放器下载</w:t>
      </w:r>
      <w:r>
        <w:rPr>
          <w:szCs w:val="21"/>
        </w:rPr>
        <w:t>和</w:t>
      </w:r>
      <w:r>
        <w:rPr>
          <w:rFonts w:hint="eastAsia"/>
          <w:szCs w:val="21"/>
        </w:rPr>
        <w:t>修改密码三</w:t>
      </w:r>
      <w:r>
        <w:rPr>
          <w:szCs w:val="21"/>
        </w:rPr>
        <w:t>部分组成。</w:t>
      </w:r>
    </w:p>
    <w:p>
      <w:pPr>
        <w:rPr>
          <w:szCs w:val="21"/>
        </w:rPr>
      </w:pPr>
      <w:r>
        <w:rPr>
          <w:szCs w:val="21"/>
        </w:rPr>
        <w:drawing>
          <wp:inline distT="0" distB="0" distL="114300" distR="114300">
            <wp:extent cx="5271135" cy="3016250"/>
            <wp:effectExtent l="0" t="0" r="5715" b="12700"/>
            <wp:docPr id="23" name="图片 18"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8" descr="未标题-1"/>
                    <pic:cNvPicPr>
                      <a:picLocks noChangeAspect="1"/>
                    </pic:cNvPicPr>
                  </pic:nvPicPr>
                  <pic:blipFill>
                    <a:blip r:embed="rId24"/>
                    <a:stretch>
                      <a:fillRect/>
                    </a:stretch>
                  </pic:blipFill>
                  <pic:spPr>
                    <a:xfrm>
                      <a:off x="0" y="0"/>
                      <a:ext cx="5271135" cy="3016250"/>
                    </a:xfrm>
                    <a:prstGeom prst="rect">
                      <a:avLst/>
                    </a:prstGeom>
                    <a:noFill/>
                    <a:ln w="9525">
                      <a:noFill/>
                    </a:ln>
                  </pic:spPr>
                </pic:pic>
              </a:graphicData>
            </a:graphic>
          </wp:inline>
        </w:drawing>
      </w:r>
    </w:p>
    <w:p>
      <w:pPr>
        <w:jc w:val="center"/>
        <w:rPr>
          <w:szCs w:val="21"/>
        </w:rPr>
      </w:pPr>
      <w:r>
        <w:rPr>
          <w:rFonts w:hint="eastAsia"/>
          <w:szCs w:val="21"/>
        </w:rPr>
        <w:t>（</w:t>
      </w:r>
      <w:r>
        <w:rPr>
          <w:szCs w:val="21"/>
        </w:rPr>
        <w:t>图</w:t>
      </w:r>
      <w:r>
        <w:rPr>
          <w:rFonts w:hint="eastAsia"/>
          <w:szCs w:val="21"/>
        </w:rPr>
        <w:t>4）</w:t>
      </w:r>
    </w:p>
    <w:p>
      <w:pPr>
        <w:ind w:left="210" w:hanging="210" w:hangingChars="100"/>
        <w:rPr>
          <w:rFonts w:ascii="宋体" w:hAnsi="宋体" w:cs="??"/>
          <w:szCs w:val="21"/>
        </w:rPr>
      </w:pPr>
      <w:r>
        <w:rPr>
          <w:rFonts w:hint="eastAsia"/>
          <w:szCs w:val="21"/>
        </w:rPr>
        <w:t>五、下载并安装播放器。首先，</w:t>
      </w:r>
      <w:r>
        <w:rPr>
          <w:rFonts w:hint="eastAsia" w:ascii="宋体" w:hAnsi="宋体" w:cs="??"/>
          <w:szCs w:val="21"/>
        </w:rPr>
        <w:t>点击左侧 “播放器下载” 按钮（如图5-1）,然后，点击“立即下载”按钮下载播放器进行安装即可（如图5-2）。</w:t>
      </w:r>
      <w:r>
        <w:rPr>
          <w:rFonts w:ascii="宋体" w:hAnsi="宋体" w:cs="??"/>
          <w:szCs w:val="21"/>
        </w:rPr>
        <w:br w:type="textWrapping"/>
      </w:r>
      <w:r>
        <w:rPr>
          <w:rFonts w:ascii="宋体" w:hAnsi="宋体" w:cs="??"/>
          <w:szCs w:val="21"/>
        </w:rPr>
        <w:drawing>
          <wp:inline distT="0" distB="0" distL="114300" distR="114300">
            <wp:extent cx="1647190" cy="1142365"/>
            <wp:effectExtent l="0" t="0" r="10160" b="635"/>
            <wp:docPr id="24" name="图片 19"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9" descr="cd"/>
                    <pic:cNvPicPr>
                      <a:picLocks noChangeAspect="1"/>
                    </pic:cNvPicPr>
                  </pic:nvPicPr>
                  <pic:blipFill>
                    <a:blip r:embed="rId25"/>
                    <a:stretch>
                      <a:fillRect/>
                    </a:stretch>
                  </pic:blipFill>
                  <pic:spPr>
                    <a:xfrm>
                      <a:off x="0" y="0"/>
                      <a:ext cx="1647190" cy="1142365"/>
                    </a:xfrm>
                    <a:prstGeom prst="rect">
                      <a:avLst/>
                    </a:prstGeom>
                    <a:noFill/>
                    <a:ln w="9525">
                      <a:noFill/>
                    </a:ln>
                  </pic:spPr>
                </pic:pic>
              </a:graphicData>
            </a:graphic>
          </wp:inline>
        </w:drawing>
      </w:r>
      <w:r>
        <w:rPr>
          <w:rFonts w:ascii="宋体" w:hAnsi="宋体" w:cs="??"/>
          <w:szCs w:val="21"/>
        </w:rPr>
        <w:drawing>
          <wp:inline distT="0" distB="0" distL="114300" distR="114300">
            <wp:extent cx="3366135" cy="1522730"/>
            <wp:effectExtent l="0" t="0" r="5715" b="1270"/>
            <wp:docPr id="25" name="图片 20" descr="xzb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0" descr="xzbfq"/>
                    <pic:cNvPicPr>
                      <a:picLocks noChangeAspect="1"/>
                    </pic:cNvPicPr>
                  </pic:nvPicPr>
                  <pic:blipFill>
                    <a:blip r:embed="rId26"/>
                    <a:stretch>
                      <a:fillRect/>
                    </a:stretch>
                  </pic:blipFill>
                  <pic:spPr>
                    <a:xfrm>
                      <a:off x="0" y="0"/>
                      <a:ext cx="3366135" cy="1522730"/>
                    </a:xfrm>
                    <a:prstGeom prst="rect">
                      <a:avLst/>
                    </a:prstGeom>
                    <a:noFill/>
                    <a:ln w="9525">
                      <a:noFill/>
                    </a:ln>
                  </pic:spPr>
                </pic:pic>
              </a:graphicData>
            </a:graphic>
          </wp:inline>
        </w:drawing>
      </w:r>
    </w:p>
    <w:p>
      <w:pPr>
        <w:spacing w:line="360" w:lineRule="auto"/>
        <w:ind w:firstLine="630" w:firstLineChars="300"/>
        <w:rPr>
          <w:rFonts w:ascii="宋体" w:hAnsi="宋体" w:cs="??"/>
          <w:szCs w:val="21"/>
        </w:rPr>
      </w:pPr>
      <w:r>
        <w:rPr>
          <w:rFonts w:hint="eastAsia" w:ascii="宋体" w:hAnsi="宋体" w:cs="??"/>
          <w:szCs w:val="21"/>
        </w:rPr>
        <w:t>(图5-1)                                   （图5-2）</w:t>
      </w:r>
    </w:p>
    <w:p>
      <w:pPr>
        <w:ind w:left="420" w:hanging="420" w:hangingChars="200"/>
        <w:rPr>
          <w:rFonts w:ascii="宋体" w:hAnsi="宋体" w:cs="??"/>
          <w:szCs w:val="21"/>
        </w:rPr>
      </w:pPr>
      <w:r>
        <w:rPr>
          <w:rFonts w:hint="eastAsia"/>
          <w:szCs w:val="21"/>
        </w:rPr>
        <w:t>六、播放器安装完成后，首先，</w:t>
      </w:r>
      <w:r>
        <w:rPr>
          <w:rFonts w:hint="eastAsia" w:ascii="宋体" w:hAnsi="宋体" w:cs="??"/>
          <w:szCs w:val="21"/>
        </w:rPr>
        <w:t>点击左侧 “节目观看” 按钮(如图6-1)，然后，点击展开后的“观看直播”按钮 (如图6-2)，最后，点击直播界面的“观看直播”按钮即可进行观摩（如图6-3）。</w:t>
      </w:r>
    </w:p>
    <w:p>
      <w:pPr>
        <w:rPr>
          <w:rFonts w:ascii="宋体" w:hAnsi="宋体" w:cs="??"/>
          <w:szCs w:val="21"/>
        </w:rPr>
      </w:pPr>
      <w:r>
        <w:rPr>
          <w:szCs w:val="21"/>
        </w:rPr>
        <w:drawing>
          <wp:inline distT="0" distB="0" distL="114300" distR="114300">
            <wp:extent cx="2447290" cy="1753235"/>
            <wp:effectExtent l="0" t="0" r="10160" b="18415"/>
            <wp:docPr id="26" name="图片 21" descr="gk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1" descr="gkjm"/>
                    <pic:cNvPicPr>
                      <a:picLocks noChangeAspect="1"/>
                    </pic:cNvPicPr>
                  </pic:nvPicPr>
                  <pic:blipFill>
                    <a:blip r:embed="rId27"/>
                    <a:stretch>
                      <a:fillRect/>
                    </a:stretch>
                  </pic:blipFill>
                  <pic:spPr>
                    <a:xfrm>
                      <a:off x="0" y="0"/>
                      <a:ext cx="2447290" cy="1753235"/>
                    </a:xfrm>
                    <a:prstGeom prst="rect">
                      <a:avLst/>
                    </a:prstGeom>
                    <a:noFill/>
                    <a:ln w="9525">
                      <a:noFill/>
                    </a:ln>
                  </pic:spPr>
                </pic:pic>
              </a:graphicData>
            </a:graphic>
          </wp:inline>
        </w:drawing>
      </w:r>
      <w:r>
        <w:rPr>
          <w:szCs w:val="21"/>
        </w:rPr>
        <w:drawing>
          <wp:inline distT="0" distB="0" distL="114300" distR="114300">
            <wp:extent cx="2360930" cy="1857375"/>
            <wp:effectExtent l="0" t="0" r="1270" b="9525"/>
            <wp:docPr id="27" name="图片 22" descr="ggg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2" descr="gggggg"/>
                    <pic:cNvPicPr>
                      <a:picLocks noChangeAspect="1"/>
                    </pic:cNvPicPr>
                  </pic:nvPicPr>
                  <pic:blipFill>
                    <a:blip r:embed="rId28"/>
                    <a:stretch>
                      <a:fillRect/>
                    </a:stretch>
                  </pic:blipFill>
                  <pic:spPr>
                    <a:xfrm>
                      <a:off x="0" y="0"/>
                      <a:ext cx="2360930" cy="1857375"/>
                    </a:xfrm>
                    <a:prstGeom prst="rect">
                      <a:avLst/>
                    </a:prstGeom>
                    <a:noFill/>
                    <a:ln w="9525">
                      <a:noFill/>
                    </a:ln>
                  </pic:spPr>
                </pic:pic>
              </a:graphicData>
            </a:graphic>
          </wp:inline>
        </w:drawing>
      </w:r>
    </w:p>
    <w:p>
      <w:pPr>
        <w:ind w:firstLine="1260" w:firstLineChars="600"/>
        <w:rPr>
          <w:rFonts w:ascii="宋体" w:hAnsi="宋体" w:cs="??"/>
          <w:szCs w:val="21"/>
        </w:rPr>
      </w:pPr>
      <w:r>
        <w:rPr>
          <w:rFonts w:hint="eastAsia" w:ascii="宋体" w:hAnsi="宋体" w:cs="??"/>
          <w:szCs w:val="21"/>
        </w:rPr>
        <w:t>(图6-1)                                  (图6-2)</w:t>
      </w:r>
    </w:p>
    <w:p>
      <w:pPr>
        <w:rPr>
          <w:rFonts w:ascii="宋体" w:hAnsi="宋体" w:cs="??"/>
          <w:szCs w:val="21"/>
        </w:rPr>
      </w:pPr>
    </w:p>
    <w:p>
      <w:pPr>
        <w:rPr>
          <w:rFonts w:ascii="宋体" w:hAnsi="宋体" w:cs="??"/>
          <w:szCs w:val="21"/>
        </w:rPr>
      </w:pPr>
      <w:r>
        <w:rPr>
          <w:rFonts w:ascii="宋体" w:hAnsi="宋体" w:cs="??"/>
          <w:szCs w:val="21"/>
        </w:rPr>
        <w:drawing>
          <wp:inline distT="0" distB="0" distL="114300" distR="114300">
            <wp:extent cx="5272405" cy="2142490"/>
            <wp:effectExtent l="0" t="0" r="4445" b="10160"/>
            <wp:docPr id="28" name="图片 23" descr="zzzzzzzfff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3" descr="zzzzzzzfffff"/>
                    <pic:cNvPicPr>
                      <a:picLocks noChangeAspect="1"/>
                    </pic:cNvPicPr>
                  </pic:nvPicPr>
                  <pic:blipFill>
                    <a:blip r:embed="rId29"/>
                    <a:stretch>
                      <a:fillRect/>
                    </a:stretch>
                  </pic:blipFill>
                  <pic:spPr>
                    <a:xfrm>
                      <a:off x="0" y="0"/>
                      <a:ext cx="5272405" cy="2142490"/>
                    </a:xfrm>
                    <a:prstGeom prst="rect">
                      <a:avLst/>
                    </a:prstGeom>
                    <a:noFill/>
                    <a:ln w="9525">
                      <a:noFill/>
                    </a:ln>
                  </pic:spPr>
                </pic:pic>
              </a:graphicData>
            </a:graphic>
          </wp:inline>
        </w:drawing>
      </w:r>
    </w:p>
    <w:p>
      <w:pPr>
        <w:jc w:val="center"/>
        <w:rPr>
          <w:rFonts w:ascii="宋体" w:hAnsi="宋体" w:cs="??"/>
          <w:szCs w:val="21"/>
        </w:rPr>
      </w:pPr>
      <w:r>
        <w:rPr>
          <w:rFonts w:hint="eastAsia" w:ascii="宋体" w:hAnsi="宋体" w:cs="??"/>
          <w:szCs w:val="21"/>
        </w:rPr>
        <w:t>(图6-3)</w:t>
      </w:r>
    </w:p>
    <w:p>
      <w:pPr>
        <w:spacing w:line="400" w:lineRule="atLeast"/>
        <w:rPr>
          <w:b/>
          <w:sz w:val="30"/>
          <w:szCs w:val="30"/>
        </w:rPr>
      </w:pPr>
      <w:r>
        <w:rPr>
          <w:rFonts w:hint="eastAsia"/>
          <w:b/>
          <w:sz w:val="30"/>
          <w:szCs w:val="30"/>
        </w:rPr>
        <w:t xml:space="preserve">  对交易观摩系统操作如有疑问，可拨打0591-22627830或0591-22627879进行咨询。</w:t>
      </w:r>
    </w:p>
    <w:p/>
    <w:p>
      <w:pPr>
        <w:widowControl w:val="0"/>
        <w:snapToGrid w:val="0"/>
        <w:spacing w:line="476" w:lineRule="atLeast"/>
        <w:ind w:firstLine="567" w:firstLineChars="270"/>
      </w:pPr>
    </w:p>
    <w:p>
      <w:pPr>
        <w:spacing w:line="400" w:lineRule="atLeast"/>
      </w:pPr>
    </w:p>
    <w:p>
      <w:pPr>
        <w:widowControl w:val="0"/>
        <w:snapToGrid w:val="0"/>
        <w:spacing w:line="493" w:lineRule="atLeast"/>
        <w:jc w:val="center"/>
      </w:pPr>
    </w:p>
    <w:p/>
    <w:p/>
    <w:sectPr>
      <w:footerReference r:id="rId5" w:type="default"/>
      <w:pgSz w:w="11905" w:h="16837"/>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Calibri Light">
    <w:altName w:val="Calibri"/>
    <w:panose1 w:val="020F0302020204030204"/>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widowControl w:val="0"/>
      <w:snapToGrid w:val="0"/>
      <w:spacing w:line="0" w:lineRule="atLeas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文本框 2"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IAuBy3AQAAVQMAAA4AAABkcnMvZTJvRG9jLnhtbK1TS27bMBDd&#10;F8gdCO5jKQbSCILlIEGQoECQFkhzAJoiLQL8YUhb8gXSG3TVTfc9l8/RIS05QbILsqGGM8M3896M&#10;FpeD0WQrIChnG3o2KykRlrtW2XVDn37enlaUhMhsy7SzoqE7Eejl8uTLove1mLvO6VYAQRAb6t43&#10;tIvR10UReCcMCzPnhcWgdGBYxCusixZYj+hGF/Oy/Fr0DloPjosQ0HtzCNJlxpdS8PhdyiAi0Q3F&#10;3mI+IZ+rdBbLBavXwHyn+NgG+0AXhimLRY9QNywysgH1DsooDi44GWfcmcJJqbjIHJDNWfmGzWPH&#10;vMhcUJzgjzKFz4PlD9sfQFSLs6PEMoMj2v/+tf/zb//3mcyTPL0PNWY9esyLw7UbUuroD+hMrAcJ&#10;Jn2RD8E4Cr07iiuGSHh6VM2rqsQQx9h0QZzi5bmHEO+EMyQZDQWcXhaVbe9DPKROKamadbdKa/Sz&#10;WlvSI+p5dXGeXxxDiK4tFkksDt0mKw6rYaSwcu0OmfW4Ag21uKOU6G8WFU7bMhkwGavJ2HhQ6y6v&#10;U6of/NUmYju5y1ThADsWxtllnuOepeV4fc9ZL3/D8j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EgC4HLcBAABVAwAADgAAAAAAAAABACAAAAAiAQAAZHJzL2Uyb0RvYy54bWxQSwUGAAAAAAYA&#10;BgBZAQAASwUAAAAA&#10;">
          <v:path/>
          <v:fill on="f" focussize="0,0"/>
          <v:stroke on="f" weight="1.25pt" joinstyle="miter"/>
          <v:imagedata o:title=""/>
          <o:lock v:ext="edit"/>
          <v:textbox inset="0mm,0mm,0mm,0mm" style="mso-fit-shape-to-text:t;">
            <w:txbxContent>
              <w:p>
                <w:pPr>
                  <w:pStyle w:val="4"/>
                  <w:jc w:val="center"/>
                </w:pPr>
                <w:r>
                  <w:rPr>
                    <w:rFonts w:hint="eastAsia"/>
                  </w:rPr>
                  <w:t xml:space="preserve">第 </w:t>
                </w:r>
                <w:r>
                  <w:fldChar w:fldCharType="begin"/>
                </w:r>
                <w:r>
                  <w:instrText xml:space="preserve"> PAGE  \* MERGEFORMAT </w:instrText>
                </w:r>
                <w:r>
                  <w:fldChar w:fldCharType="separate"/>
                </w:r>
                <w:r>
                  <w:t>12</w:t>
                </w:r>
                <w:r>
                  <w:fldChar w:fldCharType="end"/>
                </w:r>
                <w:r>
                  <w:rPr>
                    <w:rFonts w:hint="eastAsia"/>
                  </w:rPr>
                  <w:t xml:space="preserve"> 页 共</w:t>
                </w:r>
                <w:r>
                  <w:rPr>
                    <w:rFonts w:hint="eastAsia"/>
                    <w:lang w:val="en-US" w:eastAsia="zh-CN"/>
                  </w:rPr>
                  <w:t>21</w:t>
                </w:r>
                <w:r>
                  <w:rPr>
                    <w:rFonts w:hint="eastAsia"/>
                  </w:rPr>
                  <w:t>页</w:t>
                </w:r>
              </w:p>
            </w:txbxContent>
          </v:textbox>
        </v:shape>
      </w:pict>
    </w:r>
  </w:p>
  <w:p>
    <w:pPr>
      <w:widowControl w:val="0"/>
      <w:snapToGrid w:val="0"/>
      <w:spacing w:line="0" w:lineRule="atLeast"/>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rPr>
        <w:rFonts w:ascii="华文中宋" w:hAnsi="华文中宋" w:eastAsia="华文中宋"/>
        <w:i/>
        <w:color w:val="C0C0C0"/>
      </w:rPr>
    </w:pPr>
    <w:r>
      <w:rPr>
        <w:rFonts w:ascii="华文中宋" w:hAnsi="华文中宋" w:eastAsia="华文中宋"/>
        <w:i/>
        <w:color w:val="C0C0C0"/>
        <w:sz w:val="20"/>
      </w:rPr>
      <w:drawing>
        <wp:anchor distT="0" distB="0" distL="114300" distR="114300" simplePos="0" relativeHeight="251658240" behindDoc="0" locked="1" layoutInCell="1" allowOverlap="1">
          <wp:simplePos x="0" y="0"/>
          <wp:positionH relativeFrom="character">
            <wp:align>left</wp:align>
          </wp:positionH>
          <wp:positionV relativeFrom="line">
            <wp:posOffset>0</wp:posOffset>
          </wp:positionV>
          <wp:extent cx="336550" cy="341630"/>
          <wp:effectExtent l="0" t="0" r="6350" b="127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pic:cNvPicPr>
                </pic:nvPicPr>
                <pic:blipFill>
                  <a:blip r:embed="rId1"/>
                  <a:srcRect l="22565" t="24165" r="29030" b="25830"/>
                  <a:stretch>
                    <a:fillRect/>
                  </a:stretch>
                </pic:blipFill>
                <pic:spPr>
                  <a:xfrm>
                    <a:off x="0" y="0"/>
                    <a:ext cx="336550" cy="341630"/>
                  </a:xfrm>
                  <a:prstGeom prst="rect">
                    <a:avLst/>
                  </a:prstGeom>
                  <a:noFill/>
                  <a:ln w="9525">
                    <a:noFill/>
                  </a:ln>
                </pic:spPr>
              </pic:pic>
            </a:graphicData>
          </a:graphic>
        </wp:anchor>
      </w:drawing>
    </w:r>
    <w:r>
      <w:rPr>
        <w:rFonts w:ascii="华文中宋" w:hAnsi="华文中宋" w:eastAsia="华文中宋"/>
        <w:i/>
        <w:color w:val="C0C0C0"/>
        <w:sz w:val="24"/>
      </w:rPr>
      <w:pict>
        <v:rect id="图片 1" o:spid="_x0000_s2050" o:spt="1" style="height:26.9pt;width:26.5pt;" filled="f" stroked="f" coordsize="21600,21600" o:gfxdata="UEsDBAoAAAAAAIdO4kAAAAAAAAAAAAAAAAAEAAAAZHJzL1BLAwQUAAAACACHTuJAj//pvNMAAAAD&#10;AQAADwAAAGRycy9kb3ducmV2LnhtbE2PQUvDQBCF74L/YRnBi7SbKkpJs+mhIBYRiqn2PM2OSTA7&#10;m2a3Sf33Tr3UywyPN7z5XrY8uVYN1IfGs4HZNAFFXHrbcGXgY/s8mYMKEdli65kM/FCAZX59lWFq&#10;/cjvNBSxUhLCIUUDdYxdqnUoa3IYpr4jFu/L9w6jyL7StsdRwl2r75PkSTtsWD7U2NGqpvK7ODoD&#10;Y7kZdtu3F7252609H9aHVfH5asztzSxZgIp0ipdjOOMLOuTCtPdHtkG1BqRI/JviPT6I2p/3HHSe&#10;6f/s+S9QSwMEFAAAAAgAh07iQONmCzClAQAAJwMAAA4AAABkcnMvZTJvRG9jLnhtbK1SUW4TMRD9&#10;R+IOlv/JZrMkglU2FaIqPxWtKBzA9dq7FrbH8rjZ5ASIM/QuvU3FNRi7aWjLH+JnZM943sx7z+uT&#10;nbNsqyIa8B2vZ3POlJfQGz90/NvXszfvOMMkfC8seNXxvUJ+snn9aj2FVi1gBNuryAjEYzuFjo8p&#10;hbaqUI7KCZxBUJ6KGqITia5xqPooJkJ3tlrM56tqgtiHCFIhUvb0ocg3BV9rJdOF1qgSsx2n3VKJ&#10;scTrHKvNWrRDFGE08rCG+IctnDCehh6hTkUS7Caav6CckREQdJpJcBVobaQqHIhNPX/B5moUQRUu&#10;JA6Go0z4/2Dl5+1lZKYn7xrOvHDk0f3t3a+fP1idxZkCtvTmKlzGTA/DOcjvyDx8AdKyphb4OAo/&#10;qA8YSOycoq7qWVu+4AFgp6PLQMSc7YoN+6MNapeYpGTTrJZLMktSqXlbr5piUyXax+YQMX1S4Fg+&#10;dDzS4CK+2J5jyuNF+/gkz/JwZqwtTlvPpo6/Xy6WpeFYoQ7rD3s/rJqXvoZ+T+rchGiG8Rk3cqOM&#10;OfycbPfTe0H68783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P/+m80wAAAAMBAAAPAAAAAAAA&#10;AAEAIAAAACIAAABkcnMvZG93bnJldi54bWxQSwECFAAUAAAACACHTuJA42YLMKUBAAAnAwAADgAA&#10;AAAAAAABACAAAAAiAQAAZHJzL2Uyb0RvYy54bWxQSwUGAAAAAAYABgBZAQAAOQUAAAAA&#10;">
          <v:path/>
          <v:fill on="f" focussize="0,0"/>
          <v:stroke on="f"/>
          <v:imagedata o:title=""/>
          <o:lock v:ext="edit" aspectratio="t"/>
          <w10:wrap type="none"/>
          <w10:anchorlock/>
        </v:rect>
      </w:pict>
    </w:r>
    <w:r>
      <w:rPr>
        <w:rFonts w:hint="eastAsia" w:ascii="仿宋_GB2312" w:eastAsia="仿宋_GB2312"/>
        <w:i/>
        <w:spacing w:val="-20"/>
        <w:sz w:val="24"/>
      </w:rPr>
      <w:t>莆田市专项储备粮轮换竞价采购交易会（2017年第二场）</w:t>
    </w:r>
    <w:r>
      <w:rPr>
        <w:rFonts w:ascii="仿宋_GB2312" w:eastAsia="仿宋_GB2312"/>
        <w:i/>
        <w:spacing w:val="-20"/>
        <w:sz w:val="24"/>
      </w:rPr>
      <w:t>文件书</w:t>
    </w:r>
  </w:p>
  <w:p>
    <w:pPr>
      <w:widowControl w:val="0"/>
      <w:snapToGrid w:val="0"/>
      <w:spacing w:line="0" w:lineRule="atLeast"/>
      <w:rPr>
        <w:u w:val="single"/>
      </w:rPr>
    </w:pPr>
    <w:r>
      <w:rPr>
        <w:rFonts w:hint="eastAsia"/>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1"/>
      <w:numFmt w:val="decimal"/>
      <w:lvlText w:val="%1."/>
      <w:lvlJc w:val="left"/>
      <w:pPr>
        <w:tabs>
          <w:tab w:val="left" w:pos="1260"/>
        </w:tabs>
        <w:ind w:left="1260" w:hanging="360"/>
      </w:pPr>
      <w:rPr>
        <w:rFonts w:hint="default"/>
      </w:rPr>
    </w:lvl>
    <w:lvl w:ilvl="1" w:tentative="0">
      <w:start w:val="1"/>
      <w:numFmt w:val="lowerLetter"/>
      <w:lvlText w:val="%2)"/>
      <w:lvlJc w:val="left"/>
      <w:pPr>
        <w:tabs>
          <w:tab w:val="left" w:pos="1740"/>
        </w:tabs>
        <w:ind w:left="1740" w:hanging="420"/>
      </w:pPr>
    </w:lvl>
    <w:lvl w:ilvl="2" w:tentative="0">
      <w:start w:val="1"/>
      <w:numFmt w:val="lowerRoman"/>
      <w:lvlText w:val="%3."/>
      <w:lvlJc w:val="right"/>
      <w:pPr>
        <w:tabs>
          <w:tab w:val="left" w:pos="2160"/>
        </w:tabs>
        <w:ind w:left="2160" w:hanging="420"/>
      </w:pPr>
    </w:lvl>
    <w:lvl w:ilvl="3" w:tentative="0">
      <w:start w:val="1"/>
      <w:numFmt w:val="decimal"/>
      <w:lvlText w:val="%4."/>
      <w:lvlJc w:val="left"/>
      <w:pPr>
        <w:tabs>
          <w:tab w:val="left" w:pos="2580"/>
        </w:tabs>
        <w:ind w:left="2580" w:hanging="420"/>
      </w:pPr>
    </w:lvl>
    <w:lvl w:ilvl="4" w:tentative="0">
      <w:start w:val="1"/>
      <w:numFmt w:val="lowerLetter"/>
      <w:lvlText w:val="%5)"/>
      <w:lvlJc w:val="left"/>
      <w:pPr>
        <w:tabs>
          <w:tab w:val="left" w:pos="3000"/>
        </w:tabs>
        <w:ind w:left="3000" w:hanging="420"/>
      </w:pPr>
    </w:lvl>
    <w:lvl w:ilvl="5" w:tentative="0">
      <w:start w:val="1"/>
      <w:numFmt w:val="lowerRoman"/>
      <w:lvlText w:val="%6."/>
      <w:lvlJc w:val="right"/>
      <w:pPr>
        <w:tabs>
          <w:tab w:val="left" w:pos="3420"/>
        </w:tabs>
        <w:ind w:left="3420" w:hanging="420"/>
      </w:pPr>
    </w:lvl>
    <w:lvl w:ilvl="6" w:tentative="0">
      <w:start w:val="1"/>
      <w:numFmt w:val="decimal"/>
      <w:lvlText w:val="%7."/>
      <w:lvlJc w:val="left"/>
      <w:pPr>
        <w:tabs>
          <w:tab w:val="left" w:pos="3840"/>
        </w:tabs>
        <w:ind w:left="3840" w:hanging="420"/>
      </w:pPr>
    </w:lvl>
    <w:lvl w:ilvl="7" w:tentative="0">
      <w:start w:val="1"/>
      <w:numFmt w:val="lowerLetter"/>
      <w:lvlText w:val="%8)"/>
      <w:lvlJc w:val="left"/>
      <w:pPr>
        <w:tabs>
          <w:tab w:val="left" w:pos="4260"/>
        </w:tabs>
        <w:ind w:left="4260" w:hanging="420"/>
      </w:pPr>
    </w:lvl>
    <w:lvl w:ilvl="8" w:tentative="0">
      <w:start w:val="1"/>
      <w:numFmt w:val="lowerRoman"/>
      <w:lvlText w:val="%9."/>
      <w:lvlJc w:val="right"/>
      <w:pPr>
        <w:tabs>
          <w:tab w:val="left" w:pos="4680"/>
        </w:tabs>
        <w:ind w:left="4680" w:hanging="420"/>
      </w:pPr>
    </w:lvl>
  </w:abstractNum>
  <w:abstractNum w:abstractNumId="1">
    <w:nsid w:val="0000000D"/>
    <w:multiLevelType w:val="multilevel"/>
    <w:tmpl w:val="0000000D"/>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21B01360"/>
    <w:multiLevelType w:val="multilevel"/>
    <w:tmpl w:val="21B01360"/>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777E565E"/>
    <w:rsid w:val="00053B34"/>
    <w:rsid w:val="00062147"/>
    <w:rsid w:val="000E4A78"/>
    <w:rsid w:val="00146FA6"/>
    <w:rsid w:val="001825F3"/>
    <w:rsid w:val="00203EEB"/>
    <w:rsid w:val="002A68F0"/>
    <w:rsid w:val="002D31A0"/>
    <w:rsid w:val="00303B25"/>
    <w:rsid w:val="0030415E"/>
    <w:rsid w:val="0034512A"/>
    <w:rsid w:val="003D6C9D"/>
    <w:rsid w:val="00434BF5"/>
    <w:rsid w:val="004378DA"/>
    <w:rsid w:val="00447BA8"/>
    <w:rsid w:val="00477C47"/>
    <w:rsid w:val="00477CB8"/>
    <w:rsid w:val="004B2C24"/>
    <w:rsid w:val="004B4BA2"/>
    <w:rsid w:val="004E5D0D"/>
    <w:rsid w:val="00564B87"/>
    <w:rsid w:val="0059659E"/>
    <w:rsid w:val="005E6059"/>
    <w:rsid w:val="007473E2"/>
    <w:rsid w:val="007A531D"/>
    <w:rsid w:val="007D3C98"/>
    <w:rsid w:val="008361C8"/>
    <w:rsid w:val="00862284"/>
    <w:rsid w:val="008748E7"/>
    <w:rsid w:val="0091480C"/>
    <w:rsid w:val="00963B73"/>
    <w:rsid w:val="0096604D"/>
    <w:rsid w:val="00A02079"/>
    <w:rsid w:val="00AD02A8"/>
    <w:rsid w:val="00B24453"/>
    <w:rsid w:val="00B57C78"/>
    <w:rsid w:val="00B825C2"/>
    <w:rsid w:val="00B83B9D"/>
    <w:rsid w:val="00B91C9E"/>
    <w:rsid w:val="00C26FDB"/>
    <w:rsid w:val="00C77EAC"/>
    <w:rsid w:val="00C965ED"/>
    <w:rsid w:val="00CB2715"/>
    <w:rsid w:val="00CB2985"/>
    <w:rsid w:val="00DC1B8E"/>
    <w:rsid w:val="00DF0365"/>
    <w:rsid w:val="00E253D1"/>
    <w:rsid w:val="00ED1031"/>
    <w:rsid w:val="00EE7D4A"/>
    <w:rsid w:val="00F1335E"/>
    <w:rsid w:val="00F4346C"/>
    <w:rsid w:val="00F73BB7"/>
    <w:rsid w:val="00F76338"/>
    <w:rsid w:val="00FA5723"/>
    <w:rsid w:val="00FA6C28"/>
    <w:rsid w:val="026570ED"/>
    <w:rsid w:val="0C776536"/>
    <w:rsid w:val="0D3832FF"/>
    <w:rsid w:val="21C6740A"/>
    <w:rsid w:val="22265D99"/>
    <w:rsid w:val="27826CF7"/>
    <w:rsid w:val="306A2348"/>
    <w:rsid w:val="314C57FC"/>
    <w:rsid w:val="31505EBE"/>
    <w:rsid w:val="3ED74E3A"/>
    <w:rsid w:val="4F177A46"/>
    <w:rsid w:val="541F3629"/>
    <w:rsid w:val="6A1222B7"/>
    <w:rsid w:val="777E56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25" w:lineRule="atLeast"/>
      <w:jc w:val="both"/>
      <w:textAlignment w:val="baseline"/>
    </w:pPr>
    <w:rPr>
      <w:rFonts w:asciiTheme="minorHAnsi" w:hAnsiTheme="minorHAnsi" w:eastAsiaTheme="minorEastAsia" w:cstheme="minorBidi"/>
      <w:color w:val="000000"/>
      <w:sz w:val="21"/>
      <w:szCs w:val="22"/>
      <w:u w:color="000000"/>
      <w:lang w:val="en-US" w:eastAsia="zh-CN" w:bidi="ar-SA"/>
    </w:rPr>
  </w:style>
  <w:style w:type="paragraph" w:styleId="2">
    <w:name w:val="heading 3"/>
    <w:basedOn w:val="1"/>
    <w:next w:val="1"/>
    <w:unhideWhenUsed/>
    <w:qFormat/>
    <w:uiPriority w:val="0"/>
    <w:pPr>
      <w:keepNext/>
      <w:keepLines/>
      <w:spacing w:line="416" w:lineRule="atLeast"/>
      <w:outlineLvl w:val="2"/>
    </w:pPr>
    <w:rPr>
      <w:b/>
      <w:sz w:val="32"/>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7"/>
    <w:uiPriority w:val="0"/>
    <w:pPr>
      <w:spacing w:line="240" w:lineRule="auto"/>
    </w:pPr>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6"/>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qFormat/>
    <w:uiPriority w:val="0"/>
    <w:pPr>
      <w:spacing w:beforeAutospacing="1" w:afterAutospacing="1" w:line="408" w:lineRule="auto"/>
      <w:jc w:val="left"/>
      <w:textAlignment w:val="auto"/>
    </w:pPr>
    <w:rPr>
      <w:rFonts w:ascii="??" w:hAnsi="??" w:eastAsia="??"/>
      <w:color w:val="auto"/>
      <w:sz w:val="18"/>
      <w:szCs w:val="18"/>
    </w:rPr>
  </w:style>
  <w:style w:type="character" w:styleId="8">
    <w:name w:val="FollowedHyperlink"/>
    <w:basedOn w:val="7"/>
    <w:qFormat/>
    <w:uiPriority w:val="0"/>
    <w:rPr>
      <w:color w:val="800080"/>
      <w:u w:val="single"/>
    </w:rPr>
  </w:style>
  <w:style w:type="character" w:styleId="9">
    <w:name w:val="Hyperlink"/>
    <w:basedOn w:val="7"/>
    <w:qFormat/>
    <w:uiPriority w:val="0"/>
    <w:rPr>
      <w:color w:val="0000FF"/>
      <w:u w:val="single"/>
    </w:rPr>
  </w:style>
  <w:style w:type="paragraph" w:customStyle="1" w:styleId="11">
    <w:name w:val="目录1"/>
    <w:basedOn w:val="1"/>
    <w:next w:val="1"/>
    <w:qFormat/>
    <w:uiPriority w:val="0"/>
    <w:pPr>
      <w:tabs>
        <w:tab w:val="left" w:leader="dot" w:pos="8503"/>
      </w:tabs>
      <w:spacing w:line="215" w:lineRule="atLeast"/>
      <w:ind w:firstLine="419"/>
      <w:jc w:val="left"/>
    </w:pPr>
    <w:rPr>
      <w:rFonts w:ascii="Times New Roman" w:eastAsia="宋体"/>
    </w:rPr>
  </w:style>
  <w:style w:type="paragraph" w:customStyle="1" w:styleId="12">
    <w:name w:val="章标题"/>
    <w:basedOn w:val="1"/>
    <w:next w:val="13"/>
    <w:qFormat/>
    <w:uiPriority w:val="0"/>
    <w:pPr>
      <w:spacing w:line="323" w:lineRule="atLeast"/>
      <w:jc w:val="center"/>
    </w:pPr>
    <w:rPr>
      <w:rFonts w:ascii="Arial" w:eastAsia="黑体"/>
      <w:sz w:val="31"/>
    </w:rPr>
  </w:style>
  <w:style w:type="paragraph" w:customStyle="1" w:styleId="13">
    <w:name w:val="节标题"/>
    <w:basedOn w:val="1"/>
    <w:next w:val="14"/>
    <w:qFormat/>
    <w:uiPriority w:val="0"/>
    <w:pPr>
      <w:spacing w:line="289" w:lineRule="atLeast"/>
      <w:jc w:val="center"/>
    </w:pPr>
    <w:rPr>
      <w:rFonts w:ascii="Times New Roman" w:eastAsia="宋体"/>
      <w:sz w:val="28"/>
    </w:rPr>
  </w:style>
  <w:style w:type="paragraph" w:customStyle="1" w:styleId="14">
    <w:name w:val="小节标题"/>
    <w:basedOn w:val="1"/>
    <w:next w:val="1"/>
    <w:qFormat/>
    <w:uiPriority w:val="0"/>
    <w:pPr>
      <w:spacing w:line="351" w:lineRule="atLeast"/>
    </w:pPr>
    <w:rPr>
      <w:rFonts w:ascii="Times New Roman" w:eastAsia="黑体"/>
    </w:rPr>
  </w:style>
  <w:style w:type="paragraph" w:customStyle="1" w:styleId="15">
    <w:name w:val="文章副标题"/>
    <w:basedOn w:val="1"/>
    <w:next w:val="12"/>
    <w:qFormat/>
    <w:uiPriority w:val="0"/>
    <w:pPr>
      <w:spacing w:line="374" w:lineRule="atLeast"/>
      <w:jc w:val="center"/>
    </w:pPr>
    <w:rPr>
      <w:rFonts w:ascii="Times New Roman" w:eastAsia="宋体"/>
      <w:sz w:val="36"/>
    </w:rPr>
  </w:style>
  <w:style w:type="character" w:customStyle="1" w:styleId="16">
    <w:name w:val="页眉 Char"/>
    <w:basedOn w:val="7"/>
    <w:link w:val="5"/>
    <w:uiPriority w:val="0"/>
    <w:rPr>
      <w:color w:val="000000"/>
      <w:sz w:val="18"/>
      <w:szCs w:val="18"/>
      <w:u w:color="000000"/>
    </w:rPr>
  </w:style>
  <w:style w:type="character" w:customStyle="1" w:styleId="17">
    <w:name w:val="批注框文本 Char"/>
    <w:basedOn w:val="7"/>
    <w:link w:val="3"/>
    <w:qFormat/>
    <w:uiPriority w:val="0"/>
    <w:rPr>
      <w:color w:val="000000"/>
      <w:sz w:val="18"/>
      <w:szCs w:val="18"/>
      <w:u w:color="000000"/>
    </w:rPr>
  </w:style>
  <w:style w:type="paragraph" w:customStyle="1" w:styleId="1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24.jpeg"/><Relationship Id="rId28" Type="http://schemas.openxmlformats.org/officeDocument/2006/relationships/image" Target="media/image23.jpeg"/><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pn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1776</Words>
  <Characters>10127</Characters>
  <Lines>84</Lines>
  <Paragraphs>23</Paragraphs>
  <TotalTime>0</TotalTime>
  <ScaleCrop>false</ScaleCrop>
  <LinksUpToDate>false</LinksUpToDate>
  <CharactersWithSpaces>11880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2017-09-11T01:17:00Z</dcterms:created>
  <dc:creator>Administrator</dc:creator>
  <cp:lastModifiedBy>Administrator</cp:lastModifiedBy>
  <cp:lastPrinted>2017-09-07T10:26:00Z</cp:lastPrinted>
  <dcterms:modified xsi:type="dcterms:W3CDTF">2017-09-12T07:15:16Z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